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7A" w:rsidRPr="00073C91" w:rsidRDefault="0011697A" w:rsidP="0011697A">
      <w:pPr>
        <w:shd w:val="clear" w:color="auto" w:fill="FFFFFF"/>
        <w:spacing w:after="0"/>
        <w:outlineLvl w:val="3"/>
        <w:rPr>
          <w:rFonts w:ascii="Rockwell" w:eastAsia="Times New Roman" w:hAnsi="Rockwell"/>
          <w:b/>
          <w:bCs/>
          <w:color w:val="0070C0"/>
          <w:sz w:val="40"/>
          <w:szCs w:val="40"/>
          <w:lang w:eastAsia="fr-CA"/>
        </w:rPr>
      </w:pPr>
      <w:r w:rsidRPr="00073C91">
        <w:rPr>
          <w:rFonts w:ascii="Rockwell" w:eastAsia="Times New Roman" w:hAnsi="Rockwell"/>
          <w:b/>
          <w:bCs/>
          <w:color w:val="0070C0"/>
          <w:sz w:val="40"/>
          <w:szCs w:val="40"/>
          <w:lang w:eastAsia="fr-CA"/>
        </w:rPr>
        <w:t xml:space="preserve">Liste des documents et informations à </w:t>
      </w:r>
      <w:r>
        <w:rPr>
          <w:rFonts w:ascii="Rockwell" w:eastAsia="Times New Roman" w:hAnsi="Rockwell"/>
          <w:b/>
          <w:bCs/>
          <w:color w:val="0070C0"/>
          <w:sz w:val="40"/>
          <w:szCs w:val="40"/>
          <w:lang w:eastAsia="fr-CA"/>
        </w:rPr>
        <w:t>regrouper</w:t>
      </w:r>
      <w:r w:rsidRPr="00073C91">
        <w:rPr>
          <w:rFonts w:ascii="Rockwell" w:eastAsia="Times New Roman" w:hAnsi="Rockwell"/>
          <w:b/>
          <w:bCs/>
          <w:color w:val="0070C0"/>
          <w:sz w:val="40"/>
          <w:szCs w:val="40"/>
          <w:lang w:eastAsia="fr-CA"/>
        </w:rPr>
        <w:t>.</w:t>
      </w:r>
    </w:p>
    <w:p w:rsidR="0011697A" w:rsidRPr="00C031B8" w:rsidRDefault="00605900" w:rsidP="0011697A">
      <w:pPr>
        <w:numPr>
          <w:ilvl w:val="0"/>
          <w:numId w:val="2"/>
        </w:numPr>
        <w:tabs>
          <w:tab w:val="clear" w:pos="720"/>
          <w:tab w:val="num" w:pos="6384"/>
          <w:tab w:val="num" w:pos="7092"/>
        </w:tabs>
        <w:spacing w:before="30" w:after="100" w:afterAutospacing="1" w:line="240" w:lineRule="auto"/>
        <w:ind w:left="1428"/>
        <w:jc w:val="both"/>
        <w:rPr>
          <w:rFonts w:ascii="Rockwell" w:eastAsia="Times New Roman" w:hAnsi="Rockwell"/>
          <w:color w:val="666666"/>
          <w:sz w:val="19"/>
          <w:szCs w:val="19"/>
          <w:lang w:eastAsia="fr-CA"/>
        </w:rPr>
      </w:pPr>
      <w:r>
        <w:rPr>
          <w:rFonts w:ascii="Rockwell" w:eastAsia="Times New Roman" w:hAnsi="Rockwell"/>
          <w:noProof/>
          <w:color w:val="666666"/>
          <w:sz w:val="19"/>
          <w:szCs w:val="19"/>
          <w:lang w:eastAsia="fr-CA"/>
        </w:rPr>
        <w:pict>
          <v:shapetype id="_x0000_t202" coordsize="21600,21600" o:spt="202" path="m,l,21600r21600,l21600,xe">
            <v:stroke joinstyle="miter"/>
            <v:path gradientshapeok="t" o:connecttype="rect"/>
          </v:shapetype>
          <v:shape id="_x0000_s1035" type="#_x0000_t202" style="position:absolute;left:0;text-align:left;margin-left:-25.95pt;margin-top:2pt;width:70.7pt;height:277.9pt;z-index:251660288">
            <v:textbox style="mso-next-textbox:#_x0000_s1035">
              <w:txbxContent>
                <w:p w:rsidR="0011697A" w:rsidRPr="00073C91" w:rsidRDefault="0011697A" w:rsidP="0011697A">
                  <w:pPr>
                    <w:spacing w:before="30" w:after="100" w:afterAutospacing="1" w:line="240" w:lineRule="auto"/>
                    <w:jc w:val="center"/>
                    <w:rPr>
                      <w:rFonts w:ascii="Rockwell" w:hAnsi="Rockwell"/>
                      <w:b/>
                      <w:color w:val="0070C0"/>
                      <w:sz w:val="16"/>
                      <w:szCs w:val="16"/>
                    </w:rPr>
                  </w:pPr>
                  <w:r w:rsidRPr="00141864">
                    <w:rPr>
                      <w:rFonts w:ascii="Rockwell" w:hAnsi="Rockwell"/>
                      <w:b/>
                      <w:color w:val="C00000"/>
                      <w:sz w:val="16"/>
                      <w:szCs w:val="16"/>
                    </w:rPr>
                    <w:t xml:space="preserve"> </w:t>
                  </w:r>
                  <w:r w:rsidRPr="00073C91">
                    <w:rPr>
                      <w:rFonts w:ascii="Rockwell" w:hAnsi="Rockwell"/>
                      <w:b/>
                      <w:color w:val="0070C0"/>
                      <w:sz w:val="16"/>
                      <w:szCs w:val="16"/>
                    </w:rPr>
                    <w:t>En bref !</w:t>
                  </w:r>
                </w:p>
                <w:p w:rsidR="0011697A" w:rsidRDefault="0011697A" w:rsidP="0011697A">
                  <w:pPr>
                    <w:spacing w:before="30" w:after="100" w:afterAutospacing="1" w:line="240" w:lineRule="auto"/>
                    <w:jc w:val="center"/>
                    <w:rPr>
                      <w:rFonts w:ascii="Rockwell" w:hAnsi="Rockwell"/>
                      <w:b/>
                    </w:rPr>
                  </w:pPr>
                </w:p>
                <w:p w:rsidR="0011697A" w:rsidRPr="009D5423" w:rsidRDefault="0011697A" w:rsidP="0011697A">
                  <w:pPr>
                    <w:spacing w:before="30" w:after="100" w:afterAutospacing="1" w:line="240" w:lineRule="auto"/>
                    <w:rPr>
                      <w:rFonts w:ascii="Rockwell" w:hAnsi="Rockwell"/>
                      <w:b/>
                    </w:rPr>
                  </w:pPr>
                </w:p>
              </w:txbxContent>
            </v:textbox>
          </v:shape>
        </w:pict>
      </w:r>
      <w:r w:rsidR="0011697A" w:rsidRPr="00C031B8">
        <w:rPr>
          <w:rFonts w:ascii="Rockwell" w:eastAsia="Times New Roman" w:hAnsi="Rockwell"/>
          <w:color w:val="666666"/>
          <w:sz w:val="19"/>
          <w:szCs w:val="19"/>
          <w:lang w:eastAsia="fr-CA"/>
        </w:rPr>
        <w:t xml:space="preserve">Déclarations de revenu de l’année précédente </w:t>
      </w:r>
      <w:r w:rsidR="0011697A" w:rsidRPr="00C031B8">
        <w:rPr>
          <w:rFonts w:ascii="Rockwell" w:eastAsia="Times New Roman" w:hAnsi="Rockwell"/>
          <w:i/>
          <w:color w:val="666666"/>
          <w:sz w:val="19"/>
          <w:szCs w:val="19"/>
          <w:lang w:eastAsia="fr-CA"/>
        </w:rPr>
        <w:t>(Nouveaux clients seulement)</w:t>
      </w:r>
      <w:r w:rsidR="0011697A" w:rsidRPr="00C031B8">
        <w:rPr>
          <w:rFonts w:ascii="Rockwell" w:eastAsia="Times New Roman" w:hAnsi="Rockwell"/>
          <w:color w:val="666666"/>
          <w:sz w:val="19"/>
          <w:szCs w:val="19"/>
          <w:lang w:eastAsia="fr-CA"/>
        </w:rPr>
        <w:t> ;</w:t>
      </w:r>
    </w:p>
    <w:p w:rsidR="0011697A" w:rsidRPr="00C031B8" w:rsidRDefault="0011697A" w:rsidP="0011697A">
      <w:pPr>
        <w:numPr>
          <w:ilvl w:val="0"/>
          <w:numId w:val="2"/>
        </w:numPr>
        <w:tabs>
          <w:tab w:val="clear" w:pos="720"/>
          <w:tab w:val="num" w:pos="6384"/>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Avis de cotisation fédéral et provincial de l'année précédente </w:t>
      </w:r>
      <w:r w:rsidRPr="00C031B8">
        <w:rPr>
          <w:rFonts w:ascii="Rockwell" w:eastAsia="Times New Roman" w:hAnsi="Rockwell"/>
          <w:i/>
          <w:color w:val="666666"/>
          <w:sz w:val="19"/>
          <w:szCs w:val="19"/>
          <w:lang w:eastAsia="fr-CA"/>
        </w:rPr>
        <w:t>(si possible) </w:t>
      </w:r>
      <w:r w:rsidRPr="00C031B8">
        <w:rPr>
          <w:rFonts w:ascii="Rockwell" w:eastAsia="Times New Roman" w:hAnsi="Rockwell"/>
          <w:color w:val="666666"/>
          <w:sz w:val="19"/>
          <w:szCs w:val="19"/>
          <w:lang w:eastAsia="fr-CA"/>
        </w:rPr>
        <w:t>;</w:t>
      </w:r>
    </w:p>
    <w:p w:rsidR="0011697A" w:rsidRPr="00C031B8" w:rsidRDefault="0011697A" w:rsidP="0011697A">
      <w:pPr>
        <w:numPr>
          <w:ilvl w:val="0"/>
          <w:numId w:val="2"/>
        </w:numPr>
        <w:tabs>
          <w:tab w:val="clear" w:pos="720"/>
          <w:tab w:val="num" w:pos="6384"/>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Codes d’accès à </w:t>
      </w:r>
      <w:proofErr w:type="spellStart"/>
      <w:r w:rsidRPr="00C031B8">
        <w:rPr>
          <w:rFonts w:ascii="Rockwell" w:eastAsia="Times New Roman" w:hAnsi="Rockwell"/>
          <w:color w:val="666666"/>
          <w:sz w:val="19"/>
          <w:szCs w:val="19"/>
          <w:lang w:eastAsia="fr-CA"/>
        </w:rPr>
        <w:t>Impôtnet</w:t>
      </w:r>
      <w:proofErr w:type="spellEnd"/>
      <w:r w:rsidRPr="00C031B8">
        <w:rPr>
          <w:rFonts w:ascii="Rockwell" w:eastAsia="Times New Roman" w:hAnsi="Rockwell"/>
          <w:color w:val="666666"/>
          <w:sz w:val="19"/>
          <w:szCs w:val="19"/>
          <w:lang w:eastAsia="fr-CA"/>
        </w:rPr>
        <w:t xml:space="preserve"> </w:t>
      </w:r>
      <w:r w:rsidRPr="00C031B8">
        <w:rPr>
          <w:rFonts w:ascii="Rockwell" w:eastAsia="Times New Roman" w:hAnsi="Rockwell"/>
          <w:i/>
          <w:color w:val="666666"/>
          <w:sz w:val="19"/>
          <w:szCs w:val="19"/>
          <w:lang w:eastAsia="fr-CA"/>
        </w:rPr>
        <w:t xml:space="preserve">(fédéral &amp; provincial) </w:t>
      </w:r>
      <w:r w:rsidRPr="00C031B8">
        <w:rPr>
          <w:rFonts w:ascii="Rockwell" w:eastAsia="Times New Roman" w:hAnsi="Rockwell"/>
          <w:color w:val="666666"/>
          <w:sz w:val="19"/>
          <w:szCs w:val="19"/>
          <w:lang w:eastAsia="fr-CA"/>
        </w:rPr>
        <w:t>;</w:t>
      </w:r>
    </w:p>
    <w:p w:rsidR="0011697A" w:rsidRPr="00C031B8" w:rsidRDefault="0011697A" w:rsidP="0011697A">
      <w:pPr>
        <w:numPr>
          <w:ilvl w:val="0"/>
          <w:numId w:val="2"/>
        </w:numPr>
        <w:tabs>
          <w:tab w:val="clear" w:pos="720"/>
          <w:tab w:val="num" w:pos="6384"/>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Relevés de revenus : T4 et tous ses dérivés </w:t>
      </w:r>
      <w:r w:rsidRPr="00C031B8">
        <w:rPr>
          <w:rFonts w:ascii="Rockwell" w:eastAsia="Times New Roman" w:hAnsi="Rockwell"/>
          <w:i/>
          <w:color w:val="666666"/>
          <w:sz w:val="19"/>
          <w:szCs w:val="19"/>
          <w:lang w:eastAsia="fr-CA"/>
        </w:rPr>
        <w:t>(Rel.1, T4-A, T4RSP, etc</w:t>
      </w:r>
      <w:r w:rsidRPr="00C031B8">
        <w:rPr>
          <w:rFonts w:ascii="Rockwell" w:eastAsia="Times New Roman" w:hAnsi="Rockwell"/>
          <w:color w:val="666666"/>
          <w:sz w:val="19"/>
          <w:szCs w:val="19"/>
          <w:lang w:eastAsia="fr-CA"/>
        </w:rPr>
        <w:t>.) ;</w:t>
      </w:r>
    </w:p>
    <w:p w:rsidR="0011697A" w:rsidRPr="00C031B8" w:rsidRDefault="0011697A" w:rsidP="0011697A">
      <w:pPr>
        <w:numPr>
          <w:ilvl w:val="0"/>
          <w:numId w:val="2"/>
        </w:numPr>
        <w:tabs>
          <w:tab w:val="clear" w:pos="720"/>
          <w:tab w:val="num" w:pos="6384"/>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Relevés du gouvernement : SAAQ, CSST, Chômage, RQAP, IVAC &amp; Aide sociale ;</w:t>
      </w:r>
    </w:p>
    <w:p w:rsidR="0011697A" w:rsidRPr="00C031B8" w:rsidRDefault="0011697A" w:rsidP="0011697A">
      <w:pPr>
        <w:numPr>
          <w:ilvl w:val="0"/>
          <w:numId w:val="2"/>
        </w:numPr>
        <w:tabs>
          <w:tab w:val="clear" w:pos="720"/>
          <w:tab w:val="num" w:pos="6384"/>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Fournir vos reçues de cotisations obligatoires à un ordre, un syndicat, un comité paritaire ou à une association. Fournir aussi les reçues de formation continue obligatoire à la profession ;</w:t>
      </w:r>
    </w:p>
    <w:p w:rsidR="0011697A" w:rsidRPr="00C031B8" w:rsidRDefault="0011697A" w:rsidP="0011697A">
      <w:pPr>
        <w:numPr>
          <w:ilvl w:val="0"/>
          <w:numId w:val="2"/>
        </w:numPr>
        <w:tabs>
          <w:tab w:val="clear" w:pos="720"/>
          <w:tab w:val="num" w:pos="6384"/>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Étudiants : fournir les feuillets T2202A et Rel.8. Ex-étudiants, fournir le relevé d’intérêts payés sur vos prêts d’étude avec le gouvernement ;</w:t>
      </w:r>
    </w:p>
    <w:p w:rsidR="0011697A" w:rsidRPr="00C031B8" w:rsidRDefault="0011697A" w:rsidP="0011697A">
      <w:pPr>
        <w:numPr>
          <w:ilvl w:val="0"/>
          <w:numId w:val="2"/>
        </w:numPr>
        <w:tabs>
          <w:tab w:val="clear" w:pos="720"/>
          <w:tab w:val="num" w:pos="6384"/>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Laissez-passer mensuelles et/ou hebdomadaires de transports en commun </w:t>
      </w:r>
      <w:r w:rsidRPr="00C031B8">
        <w:rPr>
          <w:rFonts w:ascii="Rockwell" w:eastAsia="Times New Roman" w:hAnsi="Rockwell"/>
          <w:i/>
          <w:color w:val="666666"/>
          <w:sz w:val="19"/>
          <w:szCs w:val="19"/>
          <w:lang w:eastAsia="fr-CA"/>
        </w:rPr>
        <w:t xml:space="preserve">(total annuel) </w:t>
      </w:r>
      <w:r w:rsidRPr="00C031B8">
        <w:rPr>
          <w:rFonts w:ascii="Rockwell" w:eastAsia="Times New Roman" w:hAnsi="Rockwell"/>
          <w:color w:val="666666"/>
          <w:sz w:val="19"/>
          <w:szCs w:val="19"/>
          <w:lang w:eastAsia="fr-CA"/>
        </w:rPr>
        <w:t>;</w:t>
      </w:r>
    </w:p>
    <w:p w:rsidR="0011697A" w:rsidRPr="00C031B8" w:rsidRDefault="0011697A" w:rsidP="0011697A">
      <w:pPr>
        <w:numPr>
          <w:ilvl w:val="0"/>
          <w:numId w:val="2"/>
        </w:numPr>
        <w:tabs>
          <w:tab w:val="clear" w:pos="720"/>
          <w:tab w:val="num" w:pos="6384"/>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Relevé 22, pour les travailleurs de la construction ;</w:t>
      </w:r>
    </w:p>
    <w:p w:rsidR="0011697A" w:rsidRPr="00C031B8" w:rsidRDefault="0011697A" w:rsidP="0011697A">
      <w:pPr>
        <w:numPr>
          <w:ilvl w:val="0"/>
          <w:numId w:val="2"/>
        </w:numPr>
        <w:tabs>
          <w:tab w:val="clear" w:pos="720"/>
          <w:tab w:val="num" w:pos="6384"/>
        </w:tabs>
        <w:spacing w:before="30" w:after="0"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Assurance médicaments et assurance santé privé : fournir le montant de la prime payée par l’employé durant l’année. </w:t>
      </w:r>
      <w:r w:rsidRPr="00C031B8">
        <w:rPr>
          <w:rFonts w:ascii="Rockwell" w:eastAsia="Times New Roman" w:hAnsi="Rockwell"/>
          <w:i/>
          <w:color w:val="666666"/>
          <w:sz w:val="19"/>
          <w:szCs w:val="19"/>
          <w:lang w:eastAsia="fr-CA"/>
        </w:rPr>
        <w:t>(souvent indiqué sur le T4 case 85 sinon effectuer la demande auprès de votre employeur ou ex-employeur)</w:t>
      </w:r>
      <w:r w:rsidRPr="00C031B8">
        <w:rPr>
          <w:rFonts w:ascii="Rockwell" w:eastAsia="Times New Roman" w:hAnsi="Rockwell"/>
          <w:color w:val="666666"/>
          <w:sz w:val="19"/>
          <w:szCs w:val="19"/>
          <w:lang w:eastAsia="fr-CA"/>
        </w:rPr>
        <w:t> ;</w:t>
      </w:r>
    </w:p>
    <w:p w:rsidR="0011697A" w:rsidRPr="00C031B8" w:rsidRDefault="0011697A" w:rsidP="0011697A">
      <w:pPr>
        <w:numPr>
          <w:ilvl w:val="0"/>
          <w:numId w:val="2"/>
        </w:numPr>
        <w:tabs>
          <w:tab w:val="clear" w:pos="720"/>
          <w:tab w:val="num" w:pos="6384"/>
        </w:tabs>
        <w:spacing w:before="30" w:after="0"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Reçus de </w:t>
      </w:r>
      <w:r w:rsidRPr="007F7C32">
        <w:rPr>
          <w:rFonts w:ascii="Rockwell" w:eastAsia="Times New Roman" w:hAnsi="Rockwell"/>
          <w:sz w:val="19"/>
          <w:szCs w:val="19"/>
          <w:lang w:eastAsia="fr-CA"/>
        </w:rPr>
        <w:t>frais médicaux</w:t>
      </w:r>
      <w:r w:rsidRPr="00C031B8">
        <w:rPr>
          <w:rFonts w:ascii="Rockwell" w:eastAsia="Times New Roman" w:hAnsi="Rockwell"/>
          <w:color w:val="666666"/>
          <w:sz w:val="19"/>
          <w:szCs w:val="19"/>
          <w:lang w:eastAsia="fr-CA"/>
        </w:rPr>
        <w:t xml:space="preserve"> payés : franchise d'assurances, frais de dentiste, frais d'optométriste, etc.</w:t>
      </w:r>
      <w:r w:rsidRPr="00C031B8">
        <w:rPr>
          <w:rFonts w:ascii="Rockwell" w:eastAsia="Times New Roman" w:hAnsi="Rockwell"/>
          <w:i/>
          <w:color w:val="666666"/>
          <w:sz w:val="19"/>
          <w:szCs w:val="19"/>
          <w:lang w:eastAsia="fr-CA"/>
        </w:rPr>
        <w:t xml:space="preserve"> (seule la portion des frais médicaux non-remboursées est admissible et vous devez avoir compilé par catégorie et par personne le montant des frais admissibles sur une base annuelle) </w:t>
      </w:r>
      <w:r w:rsidRPr="00C031B8">
        <w:rPr>
          <w:rFonts w:ascii="Rockwell" w:eastAsia="Times New Roman" w:hAnsi="Rockwell"/>
          <w:color w:val="666666"/>
          <w:sz w:val="19"/>
          <w:szCs w:val="19"/>
          <w:lang w:eastAsia="fr-CA"/>
        </w:rPr>
        <w:t>;</w:t>
      </w:r>
    </w:p>
    <w:p w:rsidR="0011697A" w:rsidRPr="00C031B8" w:rsidRDefault="0011697A" w:rsidP="0011697A">
      <w:pPr>
        <w:numPr>
          <w:ilvl w:val="0"/>
          <w:numId w:val="2"/>
        </w:numPr>
        <w:tabs>
          <w:tab w:val="clear" w:pos="720"/>
          <w:tab w:val="num" w:pos="6384"/>
        </w:tabs>
        <w:spacing w:before="30" w:after="0"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Reçues officiels de dons de charité ;</w:t>
      </w:r>
    </w:p>
    <w:p w:rsidR="0011697A" w:rsidRPr="00C031B8" w:rsidRDefault="0011697A" w:rsidP="0011697A">
      <w:pPr>
        <w:numPr>
          <w:ilvl w:val="0"/>
          <w:numId w:val="2"/>
        </w:numPr>
        <w:tabs>
          <w:tab w:val="clear" w:pos="720"/>
          <w:tab w:val="num" w:pos="6384"/>
        </w:tabs>
        <w:spacing w:before="30" w:after="0"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Relevé 19, seulement si vous avez déjà anticipé par versements votre remboursement au crédit concernant la prime au travail ;</w:t>
      </w:r>
    </w:p>
    <w:p w:rsidR="0011697A" w:rsidRPr="00C031B8" w:rsidRDefault="0011697A" w:rsidP="0011697A">
      <w:pPr>
        <w:spacing w:before="30" w:after="0" w:line="240" w:lineRule="auto"/>
        <w:ind w:left="1428"/>
        <w:jc w:val="both"/>
        <w:rPr>
          <w:rFonts w:ascii="Rockwell" w:eastAsia="Times New Roman" w:hAnsi="Rockwell"/>
          <w:color w:val="666666"/>
          <w:sz w:val="19"/>
          <w:szCs w:val="19"/>
          <w:lang w:eastAsia="fr-CA"/>
        </w:rPr>
      </w:pPr>
    </w:p>
    <w:p w:rsidR="0011697A" w:rsidRPr="00C031B8" w:rsidRDefault="00605900" w:rsidP="0011697A">
      <w:pPr>
        <w:numPr>
          <w:ilvl w:val="0"/>
          <w:numId w:val="2"/>
        </w:numPr>
        <w:tabs>
          <w:tab w:val="clear" w:pos="720"/>
          <w:tab w:val="num" w:pos="6384"/>
        </w:tabs>
        <w:spacing w:before="30" w:after="0" w:line="240" w:lineRule="auto"/>
        <w:ind w:left="1428"/>
        <w:jc w:val="both"/>
        <w:rPr>
          <w:rFonts w:ascii="Rockwell" w:eastAsia="Times New Roman" w:hAnsi="Rockwell"/>
          <w:color w:val="666666"/>
          <w:sz w:val="19"/>
          <w:szCs w:val="19"/>
          <w:lang w:eastAsia="fr-CA"/>
        </w:rPr>
      </w:pPr>
      <w:r w:rsidRPr="00605900">
        <w:rPr>
          <w:rFonts w:ascii="Rockwell" w:eastAsia="Times New Roman" w:hAnsi="Rockwell"/>
          <w:b/>
          <w:noProof/>
          <w:sz w:val="19"/>
          <w:szCs w:val="19"/>
          <w:lang w:eastAsia="fr-CA"/>
        </w:rPr>
        <w:pict>
          <v:shape id="_x0000_s1036" type="#_x0000_t202" style="position:absolute;left:0;text-align:left;margin-left:-25.95pt;margin-top:5.8pt;width:70.7pt;height:86.5pt;z-index:251661312">
            <v:textbox style="mso-next-textbox:#_x0000_s1036">
              <w:txbxContent>
                <w:p w:rsidR="0011697A" w:rsidRPr="00073C91" w:rsidRDefault="0011697A" w:rsidP="0011697A">
                  <w:pPr>
                    <w:spacing w:before="30" w:after="100" w:afterAutospacing="1" w:line="240" w:lineRule="auto"/>
                    <w:jc w:val="center"/>
                    <w:rPr>
                      <w:rFonts w:ascii="Rockwell" w:hAnsi="Rockwell"/>
                      <w:b/>
                      <w:color w:val="0070C0"/>
                      <w:sz w:val="16"/>
                      <w:szCs w:val="16"/>
                    </w:rPr>
                  </w:pPr>
                  <w:r w:rsidRPr="00073C91">
                    <w:rPr>
                      <w:rFonts w:ascii="Rockwell" w:hAnsi="Rockwell"/>
                      <w:b/>
                      <w:color w:val="0070C0"/>
                      <w:sz w:val="16"/>
                      <w:szCs w:val="16"/>
                    </w:rPr>
                    <w:t>Placement(s)</w:t>
                  </w:r>
                </w:p>
              </w:txbxContent>
            </v:textbox>
          </v:shape>
        </w:pict>
      </w:r>
      <w:r w:rsidR="0011697A" w:rsidRPr="00C031B8">
        <w:rPr>
          <w:rFonts w:ascii="Rockwell" w:eastAsia="Times New Roman" w:hAnsi="Rockwell"/>
          <w:color w:val="666666"/>
          <w:sz w:val="19"/>
          <w:szCs w:val="19"/>
          <w:lang w:eastAsia="fr-CA"/>
        </w:rPr>
        <w:t xml:space="preserve">Feuillets REER cotisés durant les 60 premiers jours de l’année courante </w:t>
      </w:r>
      <w:r w:rsidR="0011697A" w:rsidRPr="00C031B8">
        <w:rPr>
          <w:rFonts w:ascii="Rockwell" w:eastAsia="Times New Roman" w:hAnsi="Rockwell"/>
          <w:i/>
          <w:color w:val="666666"/>
          <w:sz w:val="19"/>
          <w:szCs w:val="19"/>
          <w:lang w:eastAsia="fr-CA"/>
        </w:rPr>
        <w:t>(cette année du 01/janv. au 01/mars)</w:t>
      </w:r>
      <w:r w:rsidR="0011697A" w:rsidRPr="00C031B8">
        <w:rPr>
          <w:rFonts w:ascii="Rockwell" w:eastAsia="Times New Roman" w:hAnsi="Rockwell"/>
          <w:color w:val="666666"/>
          <w:sz w:val="19"/>
          <w:szCs w:val="19"/>
          <w:lang w:eastAsia="fr-CA"/>
        </w:rPr>
        <w:t xml:space="preserve"> et après le 60</w:t>
      </w:r>
      <w:r w:rsidR="0011697A" w:rsidRPr="00C031B8">
        <w:rPr>
          <w:rFonts w:ascii="Rockwell" w:eastAsia="Times New Roman" w:hAnsi="Rockwell"/>
          <w:color w:val="666666"/>
          <w:sz w:val="19"/>
          <w:szCs w:val="19"/>
          <w:vertAlign w:val="superscript"/>
          <w:lang w:eastAsia="fr-CA"/>
        </w:rPr>
        <w:t>ème</w:t>
      </w:r>
      <w:r w:rsidR="0011697A" w:rsidRPr="00C031B8">
        <w:rPr>
          <w:rFonts w:ascii="Rockwell" w:eastAsia="Times New Roman" w:hAnsi="Rockwell"/>
          <w:color w:val="666666"/>
          <w:sz w:val="19"/>
          <w:szCs w:val="19"/>
          <w:lang w:eastAsia="fr-CA"/>
        </w:rPr>
        <w:t xml:space="preserve"> jour de l’année fiscale traitée </w:t>
      </w:r>
      <w:r w:rsidR="0011697A" w:rsidRPr="00C031B8">
        <w:rPr>
          <w:rFonts w:ascii="Rockwell" w:eastAsia="Times New Roman" w:hAnsi="Rockwell"/>
          <w:i/>
          <w:color w:val="666666"/>
          <w:sz w:val="19"/>
          <w:szCs w:val="19"/>
          <w:lang w:eastAsia="fr-CA"/>
        </w:rPr>
        <w:t>(du 02/mars au 31/Décembre)</w:t>
      </w:r>
      <w:r w:rsidR="0011697A" w:rsidRPr="00C031B8">
        <w:rPr>
          <w:rFonts w:ascii="Rockwell" w:eastAsia="Times New Roman" w:hAnsi="Rockwell"/>
          <w:color w:val="666666"/>
          <w:sz w:val="19"/>
          <w:szCs w:val="19"/>
          <w:lang w:eastAsia="fr-CA"/>
        </w:rPr>
        <w:t xml:space="preserve"> ;</w:t>
      </w:r>
    </w:p>
    <w:p w:rsidR="0011697A" w:rsidRPr="00C031B8" w:rsidRDefault="0011697A" w:rsidP="0011697A">
      <w:pPr>
        <w:numPr>
          <w:ilvl w:val="0"/>
          <w:numId w:val="2"/>
        </w:numPr>
        <w:tabs>
          <w:tab w:val="clear" w:pos="720"/>
          <w:tab w:val="num" w:pos="5676"/>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Relevé de gain ou perte en capital réalisé sur la vente de vos actions </w:t>
      </w:r>
      <w:r w:rsidRPr="00C031B8">
        <w:rPr>
          <w:rFonts w:ascii="Rockwell" w:eastAsia="Times New Roman" w:hAnsi="Rockwell"/>
          <w:i/>
          <w:color w:val="666666"/>
          <w:sz w:val="19"/>
          <w:szCs w:val="19"/>
          <w:lang w:eastAsia="fr-CA"/>
        </w:rPr>
        <w:t>(T5008 ou autre)</w:t>
      </w:r>
      <w:r w:rsidRPr="00C031B8">
        <w:rPr>
          <w:rFonts w:ascii="Rockwell" w:eastAsia="Times New Roman" w:hAnsi="Rockwell"/>
          <w:color w:val="666666"/>
          <w:sz w:val="19"/>
          <w:szCs w:val="19"/>
          <w:lang w:eastAsia="fr-CA"/>
        </w:rPr>
        <w:t xml:space="preserve"> et les feuillets de placement(s) de type T5, T3, Rel.3, Rel.16, Rel.26, T5013, etc. ;</w:t>
      </w:r>
    </w:p>
    <w:p w:rsidR="0011697A" w:rsidRPr="00C031B8" w:rsidRDefault="0011697A" w:rsidP="0011697A">
      <w:pPr>
        <w:numPr>
          <w:ilvl w:val="0"/>
          <w:numId w:val="2"/>
        </w:numPr>
        <w:tabs>
          <w:tab w:val="clear" w:pos="720"/>
          <w:tab w:val="num" w:pos="5676"/>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Relevé des intérêts payés pour gagner un revenu de placement </w:t>
      </w:r>
      <w:r w:rsidRPr="00C031B8">
        <w:rPr>
          <w:rFonts w:ascii="Rockwell" w:eastAsia="Times New Roman" w:hAnsi="Rockwell"/>
          <w:i/>
          <w:color w:val="666666"/>
          <w:sz w:val="19"/>
          <w:szCs w:val="19"/>
          <w:lang w:eastAsia="fr-CA"/>
        </w:rPr>
        <w:t>(Hors REER-CELI),</w:t>
      </w:r>
      <w:r w:rsidRPr="00C031B8">
        <w:rPr>
          <w:rFonts w:ascii="Rockwell" w:eastAsia="Times New Roman" w:hAnsi="Rockwell"/>
          <w:color w:val="666666"/>
          <w:sz w:val="19"/>
          <w:szCs w:val="19"/>
          <w:lang w:eastAsia="fr-CA"/>
        </w:rPr>
        <w:t xml:space="preserve"> les frais de coffret de sûreté et les honoraires de gestion payés à un conseiller en placement.</w:t>
      </w:r>
    </w:p>
    <w:p w:rsidR="0011697A" w:rsidRPr="00C031B8" w:rsidRDefault="0011697A" w:rsidP="0011697A">
      <w:pPr>
        <w:numPr>
          <w:ilvl w:val="0"/>
          <w:numId w:val="2"/>
        </w:numPr>
        <w:tabs>
          <w:tab w:val="clear" w:pos="720"/>
          <w:tab w:val="num" w:pos="5676"/>
        </w:tabs>
        <w:spacing w:before="30" w:after="0"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Notez qu’aucune information ne sera nécessaire concernant vos cotisations à un CELI ;</w:t>
      </w:r>
    </w:p>
    <w:p w:rsidR="0011697A" w:rsidRPr="00C031B8" w:rsidRDefault="0011697A" w:rsidP="0011697A">
      <w:pPr>
        <w:spacing w:before="30" w:after="0" w:line="240" w:lineRule="auto"/>
        <w:ind w:left="1428"/>
        <w:jc w:val="both"/>
        <w:rPr>
          <w:rFonts w:ascii="Rockwell" w:eastAsia="Times New Roman" w:hAnsi="Rockwell"/>
          <w:color w:val="666666"/>
          <w:sz w:val="19"/>
          <w:szCs w:val="19"/>
          <w:lang w:eastAsia="fr-CA"/>
        </w:rPr>
      </w:pPr>
    </w:p>
    <w:p w:rsidR="0011697A" w:rsidRPr="00C031B8" w:rsidRDefault="00605900" w:rsidP="0011697A">
      <w:pPr>
        <w:numPr>
          <w:ilvl w:val="0"/>
          <w:numId w:val="2"/>
        </w:numPr>
        <w:tabs>
          <w:tab w:val="clear" w:pos="720"/>
          <w:tab w:val="num" w:pos="5676"/>
        </w:tabs>
        <w:spacing w:before="30" w:after="0" w:line="240" w:lineRule="auto"/>
        <w:ind w:left="1428"/>
        <w:jc w:val="both"/>
        <w:rPr>
          <w:rFonts w:ascii="Rockwell" w:eastAsia="Times New Roman" w:hAnsi="Rockwell"/>
          <w:color w:val="666666"/>
          <w:sz w:val="19"/>
          <w:szCs w:val="19"/>
          <w:lang w:eastAsia="fr-CA"/>
        </w:rPr>
      </w:pPr>
      <w:r w:rsidRPr="00605900">
        <w:rPr>
          <w:rFonts w:ascii="Rockwell" w:eastAsia="Times New Roman" w:hAnsi="Rockwell"/>
          <w:b/>
          <w:noProof/>
          <w:sz w:val="19"/>
          <w:szCs w:val="19"/>
          <w:lang w:eastAsia="fr-CA"/>
        </w:rPr>
        <w:pict>
          <v:shape id="_x0000_s1037" type="#_x0000_t202" style="position:absolute;left:0;text-align:left;margin-left:-25.95pt;margin-top:5.2pt;width:69.95pt;height:100.45pt;z-index:251662336">
            <v:textbox style="mso-next-textbox:#_x0000_s1037">
              <w:txbxContent>
                <w:p w:rsidR="0011697A" w:rsidRPr="00073C91" w:rsidRDefault="0011697A" w:rsidP="0011697A">
                  <w:pPr>
                    <w:spacing w:before="30" w:after="100" w:afterAutospacing="1" w:line="240" w:lineRule="auto"/>
                    <w:jc w:val="center"/>
                    <w:rPr>
                      <w:rFonts w:ascii="Rockwell" w:hAnsi="Rockwell"/>
                      <w:b/>
                      <w:color w:val="0070C0"/>
                      <w:sz w:val="16"/>
                      <w:szCs w:val="16"/>
                    </w:rPr>
                  </w:pPr>
                  <w:r w:rsidRPr="00073C91">
                    <w:rPr>
                      <w:rFonts w:ascii="Rockwell" w:hAnsi="Rockwell"/>
                      <w:b/>
                      <w:color w:val="0070C0"/>
                      <w:sz w:val="16"/>
                      <w:szCs w:val="16"/>
                    </w:rPr>
                    <w:t>Enfant(s) à charge</w:t>
                  </w:r>
                </w:p>
              </w:txbxContent>
            </v:textbox>
          </v:shape>
        </w:pict>
      </w:r>
      <w:r w:rsidR="0011697A" w:rsidRPr="00C031B8">
        <w:rPr>
          <w:rFonts w:ascii="Rockwell" w:eastAsia="Times New Roman" w:hAnsi="Rockwell"/>
          <w:color w:val="666666"/>
          <w:sz w:val="19"/>
          <w:szCs w:val="19"/>
          <w:lang w:eastAsia="fr-CA"/>
        </w:rPr>
        <w:t>Relevé RC62 de la prestation universelle pour la garde des enfants</w:t>
      </w:r>
      <w:r w:rsidR="0011697A" w:rsidRPr="00C031B8">
        <w:rPr>
          <w:rFonts w:ascii="Rockwell" w:eastAsia="Times New Roman" w:hAnsi="Rockwell"/>
          <w:i/>
          <w:color w:val="666666"/>
          <w:sz w:val="19"/>
          <w:szCs w:val="19"/>
          <w:lang w:eastAsia="fr-CA"/>
        </w:rPr>
        <w:t>. (PUGE : 100$ / mois / enfant de 6ans et moins)</w:t>
      </w:r>
      <w:r w:rsidR="0011697A" w:rsidRPr="00C031B8">
        <w:rPr>
          <w:rFonts w:ascii="Rockwell" w:eastAsia="Times New Roman" w:hAnsi="Rockwell"/>
          <w:color w:val="666666"/>
          <w:sz w:val="19"/>
          <w:szCs w:val="19"/>
          <w:lang w:eastAsia="fr-CA"/>
        </w:rPr>
        <w:t> ;</w:t>
      </w:r>
    </w:p>
    <w:p w:rsidR="0011697A" w:rsidRPr="00C031B8" w:rsidRDefault="0011697A" w:rsidP="0011697A">
      <w:pPr>
        <w:numPr>
          <w:ilvl w:val="0"/>
          <w:numId w:val="2"/>
        </w:numPr>
        <w:tabs>
          <w:tab w:val="clear" w:pos="720"/>
          <w:tab w:val="num" w:pos="4968"/>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Frais de garde d'enfants : Relevé-24 et reçu fédéral pour les garderies et/ou camps de jours. Gardienne : reçu standard obligatoire avec le nom, l’adresse, le NAS et le montant $ /année ;</w:t>
      </w:r>
    </w:p>
    <w:p w:rsidR="0011697A" w:rsidRPr="00C031B8" w:rsidRDefault="0011697A" w:rsidP="0011697A">
      <w:pPr>
        <w:numPr>
          <w:ilvl w:val="0"/>
          <w:numId w:val="2"/>
        </w:numPr>
        <w:tabs>
          <w:tab w:val="clear" w:pos="720"/>
          <w:tab w:val="num" w:pos="4968"/>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Relevé 19, si vous avez anticipé le remboursement de vos crédits pour frais de garde d’enfants ;</w:t>
      </w:r>
    </w:p>
    <w:p w:rsidR="0011697A" w:rsidRPr="00C031B8" w:rsidRDefault="0011697A" w:rsidP="0011697A">
      <w:pPr>
        <w:numPr>
          <w:ilvl w:val="0"/>
          <w:numId w:val="2"/>
        </w:numPr>
        <w:tabs>
          <w:tab w:val="clear" w:pos="720"/>
          <w:tab w:val="num" w:pos="4968"/>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Reçus officiels pour les activités sportives et culturelles de vos enfants</w:t>
      </w:r>
      <w:r w:rsidRPr="00C031B8">
        <w:rPr>
          <w:rFonts w:ascii="Rockwell" w:eastAsia="Times New Roman" w:hAnsi="Rockwell"/>
          <w:i/>
          <w:color w:val="666666"/>
          <w:sz w:val="19"/>
          <w:szCs w:val="19"/>
          <w:lang w:eastAsia="fr-CA"/>
        </w:rPr>
        <w:t xml:space="preserve"> </w:t>
      </w:r>
      <w:r w:rsidRPr="00C031B8">
        <w:rPr>
          <w:rFonts w:ascii="Rockwell" w:eastAsia="Times New Roman" w:hAnsi="Rockwell"/>
          <w:color w:val="666666"/>
          <w:sz w:val="19"/>
          <w:szCs w:val="19"/>
          <w:lang w:eastAsia="fr-CA"/>
        </w:rPr>
        <w:t>;</w:t>
      </w:r>
    </w:p>
    <w:p w:rsidR="0011697A" w:rsidRPr="00C031B8" w:rsidRDefault="0011697A" w:rsidP="0011697A">
      <w:pPr>
        <w:numPr>
          <w:ilvl w:val="0"/>
          <w:numId w:val="2"/>
        </w:numPr>
        <w:tabs>
          <w:tab w:val="clear" w:pos="720"/>
          <w:tab w:val="num" w:pos="4968"/>
        </w:tabs>
        <w:spacing w:after="0"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Pension alimentaire versée/reçue </w:t>
      </w:r>
      <w:r w:rsidRPr="00C031B8">
        <w:rPr>
          <w:rFonts w:ascii="Rockwell" w:eastAsia="Times New Roman" w:hAnsi="Rockwell"/>
          <w:color w:val="666666"/>
          <w:sz w:val="19"/>
          <w:szCs w:val="19"/>
          <w:u w:val="single"/>
          <w:lang w:eastAsia="fr-CA"/>
        </w:rPr>
        <w:t>pour conjoint(e)</w:t>
      </w:r>
      <w:r w:rsidRPr="00C031B8">
        <w:rPr>
          <w:rFonts w:ascii="Rockwell" w:eastAsia="Times New Roman" w:hAnsi="Rockwell"/>
          <w:color w:val="666666"/>
          <w:sz w:val="19"/>
          <w:szCs w:val="19"/>
          <w:lang w:eastAsia="fr-CA"/>
        </w:rPr>
        <w:t xml:space="preserve"> : avoir le total annuel reçue en $, ou le sommaire émis par le ministère ;</w:t>
      </w:r>
    </w:p>
    <w:p w:rsidR="0011697A" w:rsidRPr="00C031B8" w:rsidRDefault="0011697A" w:rsidP="0011697A">
      <w:pPr>
        <w:spacing w:after="0" w:line="240" w:lineRule="auto"/>
        <w:ind w:left="708"/>
        <w:jc w:val="both"/>
        <w:rPr>
          <w:rFonts w:ascii="Rockwell" w:eastAsia="Times New Roman" w:hAnsi="Rockwell"/>
          <w:color w:val="666666"/>
          <w:sz w:val="19"/>
          <w:szCs w:val="19"/>
          <w:lang w:eastAsia="fr-CA"/>
        </w:rPr>
      </w:pPr>
    </w:p>
    <w:p w:rsidR="0011697A" w:rsidRPr="00C031B8" w:rsidRDefault="00605900" w:rsidP="0011697A">
      <w:pPr>
        <w:numPr>
          <w:ilvl w:val="0"/>
          <w:numId w:val="1"/>
        </w:numPr>
        <w:tabs>
          <w:tab w:val="clear" w:pos="720"/>
          <w:tab w:val="num" w:pos="4968"/>
        </w:tabs>
        <w:spacing w:before="30" w:after="0" w:line="240" w:lineRule="auto"/>
        <w:ind w:left="1428"/>
        <w:jc w:val="both"/>
        <w:rPr>
          <w:rFonts w:ascii="Rockwell" w:eastAsia="Times New Roman" w:hAnsi="Rockwell"/>
          <w:color w:val="666666"/>
          <w:sz w:val="19"/>
          <w:szCs w:val="19"/>
          <w:u w:val="single"/>
          <w:lang w:eastAsia="fr-CA"/>
        </w:rPr>
      </w:pPr>
      <w:r>
        <w:rPr>
          <w:rFonts w:ascii="Rockwell" w:eastAsia="Times New Roman" w:hAnsi="Rockwell"/>
          <w:noProof/>
          <w:color w:val="666666"/>
          <w:sz w:val="19"/>
          <w:szCs w:val="19"/>
          <w:u w:val="single"/>
          <w:lang w:eastAsia="fr-CA"/>
        </w:rPr>
        <w:pict>
          <v:shape id="_x0000_s1042" type="#_x0000_t202" style="position:absolute;left:0;text-align:left;margin-left:-25.95pt;margin-top:4.15pt;width:68.3pt;height:68.35pt;z-index:251667456">
            <v:textbox style="mso-next-textbox:#_x0000_s1042">
              <w:txbxContent>
                <w:p w:rsidR="0011697A" w:rsidRPr="00073C91" w:rsidRDefault="0011697A" w:rsidP="0011697A">
                  <w:pPr>
                    <w:spacing w:before="30" w:after="100" w:afterAutospacing="1" w:line="240" w:lineRule="auto"/>
                    <w:jc w:val="center"/>
                    <w:rPr>
                      <w:rFonts w:ascii="Rockwell" w:hAnsi="Rockwell"/>
                      <w:b/>
                      <w:color w:val="0070C0"/>
                      <w:sz w:val="16"/>
                      <w:szCs w:val="16"/>
                    </w:rPr>
                  </w:pPr>
                  <w:r w:rsidRPr="00073C91">
                    <w:rPr>
                      <w:rFonts w:ascii="Rockwell" w:hAnsi="Rockwell"/>
                      <w:b/>
                      <w:color w:val="0070C0"/>
                      <w:sz w:val="16"/>
                      <w:szCs w:val="16"/>
                    </w:rPr>
                    <w:t>Conjoint(e) non-traité</w:t>
                  </w:r>
                </w:p>
              </w:txbxContent>
            </v:textbox>
          </v:shape>
        </w:pict>
      </w:r>
      <w:r w:rsidR="0011697A" w:rsidRPr="00C031B8">
        <w:rPr>
          <w:rFonts w:ascii="Rockwell" w:eastAsia="Times New Roman" w:hAnsi="Rockwell"/>
          <w:color w:val="666666"/>
          <w:sz w:val="19"/>
          <w:szCs w:val="19"/>
          <w:u w:val="single"/>
          <w:lang w:eastAsia="fr-CA"/>
        </w:rPr>
        <w:t>Si la déclaration de revenus de votre conjoint(e) est traité(e) par un autre comptable ou une autre personne, vous devez nous fournir les informations suivantes à son sujet :</w:t>
      </w:r>
    </w:p>
    <w:p w:rsidR="0011697A" w:rsidRPr="00C031B8" w:rsidRDefault="0011697A" w:rsidP="0011697A">
      <w:pPr>
        <w:numPr>
          <w:ilvl w:val="1"/>
          <w:numId w:val="1"/>
        </w:numPr>
        <w:tabs>
          <w:tab w:val="clear" w:pos="1440"/>
          <w:tab w:val="num" w:pos="4980"/>
        </w:tabs>
        <w:spacing w:before="30" w:after="100" w:afterAutospacing="1" w:line="240" w:lineRule="auto"/>
        <w:ind w:left="214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Nom et prénom de votre conjoint(e) ;</w:t>
      </w:r>
    </w:p>
    <w:p w:rsidR="0011697A" w:rsidRPr="00C031B8" w:rsidRDefault="0011697A" w:rsidP="0011697A">
      <w:pPr>
        <w:numPr>
          <w:ilvl w:val="1"/>
          <w:numId w:val="1"/>
        </w:numPr>
        <w:tabs>
          <w:tab w:val="clear" w:pos="1440"/>
          <w:tab w:val="num" w:pos="4980"/>
        </w:tabs>
        <w:spacing w:before="30" w:after="100" w:afterAutospacing="1" w:line="240" w:lineRule="auto"/>
        <w:ind w:left="214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Numéro d'assurance sociale ;</w:t>
      </w:r>
    </w:p>
    <w:p w:rsidR="0011697A" w:rsidRPr="00C031B8" w:rsidRDefault="0011697A" w:rsidP="0011697A">
      <w:pPr>
        <w:numPr>
          <w:ilvl w:val="1"/>
          <w:numId w:val="1"/>
        </w:numPr>
        <w:tabs>
          <w:tab w:val="clear" w:pos="1440"/>
          <w:tab w:val="num" w:pos="4980"/>
        </w:tabs>
        <w:spacing w:before="30" w:after="100" w:afterAutospacing="1" w:line="240" w:lineRule="auto"/>
        <w:ind w:left="214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Date de naissance ;</w:t>
      </w:r>
    </w:p>
    <w:p w:rsidR="0011697A" w:rsidRPr="00C031B8" w:rsidRDefault="0011697A" w:rsidP="0011697A">
      <w:pPr>
        <w:numPr>
          <w:ilvl w:val="1"/>
          <w:numId w:val="1"/>
        </w:numPr>
        <w:tabs>
          <w:tab w:val="clear" w:pos="1440"/>
          <w:tab w:val="num" w:pos="4980"/>
        </w:tabs>
        <w:spacing w:before="30" w:after="100" w:afterAutospacing="1" w:line="240" w:lineRule="auto"/>
        <w:ind w:left="214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Revenu net (ligne 236 au fédéral ou 275 au provincial) ;</w:t>
      </w:r>
    </w:p>
    <w:p w:rsidR="0011697A" w:rsidRDefault="0011697A" w:rsidP="0011697A">
      <w:pPr>
        <w:spacing w:after="100" w:afterAutospacing="1" w:line="240" w:lineRule="auto"/>
        <w:jc w:val="both"/>
        <w:rPr>
          <w:rFonts w:ascii="Rockwell" w:eastAsia="Times New Roman" w:hAnsi="Rockwell"/>
          <w:color w:val="666666"/>
          <w:sz w:val="18"/>
          <w:lang w:eastAsia="fr-CA"/>
        </w:rPr>
      </w:pPr>
    </w:p>
    <w:p w:rsidR="0011697A" w:rsidRPr="00C031B8" w:rsidRDefault="00605900" w:rsidP="0011697A">
      <w:pPr>
        <w:numPr>
          <w:ilvl w:val="0"/>
          <w:numId w:val="2"/>
        </w:numPr>
        <w:tabs>
          <w:tab w:val="clear" w:pos="720"/>
          <w:tab w:val="num" w:pos="4260"/>
        </w:tabs>
        <w:spacing w:after="100" w:afterAutospacing="1" w:line="240" w:lineRule="auto"/>
        <w:ind w:left="1428"/>
        <w:jc w:val="both"/>
        <w:rPr>
          <w:rFonts w:ascii="Rockwell" w:eastAsia="Times New Roman" w:hAnsi="Rockwell"/>
          <w:color w:val="666666"/>
          <w:sz w:val="19"/>
          <w:szCs w:val="19"/>
          <w:lang w:eastAsia="fr-CA"/>
        </w:rPr>
      </w:pPr>
      <w:r>
        <w:rPr>
          <w:rFonts w:ascii="Rockwell" w:eastAsia="Times New Roman" w:hAnsi="Rockwell"/>
          <w:noProof/>
          <w:color w:val="666666"/>
          <w:sz w:val="19"/>
          <w:szCs w:val="19"/>
          <w:lang w:eastAsia="fr-CA"/>
        </w:rPr>
        <w:lastRenderedPageBreak/>
        <w:pict>
          <v:shape id="_x0000_s1038" type="#_x0000_t202" style="position:absolute;left:0;text-align:left;margin-left:-25.35pt;margin-top:3pt;width:66.95pt;height:144.45pt;z-index:251663360">
            <v:textbox style="mso-next-textbox:#_x0000_s1038">
              <w:txbxContent>
                <w:p w:rsidR="0011697A" w:rsidRPr="00073C91" w:rsidRDefault="0011697A" w:rsidP="0011697A">
                  <w:pPr>
                    <w:spacing w:before="30" w:after="100" w:afterAutospacing="1" w:line="240" w:lineRule="auto"/>
                    <w:jc w:val="center"/>
                    <w:rPr>
                      <w:rFonts w:ascii="Rockwell" w:hAnsi="Rockwell"/>
                      <w:b/>
                      <w:color w:val="0070C0"/>
                      <w:sz w:val="16"/>
                      <w:szCs w:val="16"/>
                    </w:rPr>
                  </w:pPr>
                  <w:r w:rsidRPr="00073C91">
                    <w:rPr>
                      <w:rFonts w:ascii="Rockwell" w:hAnsi="Rockwell"/>
                      <w:b/>
                      <w:color w:val="0070C0"/>
                      <w:sz w:val="16"/>
                      <w:szCs w:val="16"/>
                    </w:rPr>
                    <w:t>Pensionné</w:t>
                  </w:r>
                </w:p>
              </w:txbxContent>
            </v:textbox>
          </v:shape>
        </w:pict>
      </w:r>
      <w:r w:rsidR="0011697A" w:rsidRPr="00C031B8">
        <w:rPr>
          <w:rFonts w:ascii="Rockwell" w:eastAsia="Times New Roman" w:hAnsi="Rockwell"/>
          <w:color w:val="666666"/>
          <w:sz w:val="19"/>
          <w:szCs w:val="19"/>
          <w:lang w:eastAsia="fr-CA"/>
        </w:rPr>
        <w:t>Relevés de revenus de pension : T4A(OAS) (</w:t>
      </w:r>
      <w:r w:rsidR="0011697A" w:rsidRPr="00C031B8">
        <w:rPr>
          <w:rFonts w:ascii="Rockwell" w:eastAsia="Times New Roman" w:hAnsi="Rockwell"/>
          <w:i/>
          <w:color w:val="666666"/>
          <w:sz w:val="19"/>
          <w:szCs w:val="19"/>
          <w:lang w:eastAsia="fr-CA"/>
        </w:rPr>
        <w:t>prestation de sécurité vieillesse)</w:t>
      </w:r>
      <w:r w:rsidR="0011697A" w:rsidRPr="00C031B8">
        <w:rPr>
          <w:rFonts w:ascii="Rockwell" w:eastAsia="Times New Roman" w:hAnsi="Rockwell"/>
          <w:color w:val="666666"/>
          <w:sz w:val="19"/>
          <w:szCs w:val="19"/>
          <w:lang w:eastAsia="fr-CA"/>
        </w:rPr>
        <w:t xml:space="preserve">, Rel.2 &amp; T4A(P) </w:t>
      </w:r>
      <w:r w:rsidR="0011697A" w:rsidRPr="00C031B8">
        <w:rPr>
          <w:rFonts w:ascii="Rockwell" w:eastAsia="Times New Roman" w:hAnsi="Rockwell"/>
          <w:i/>
          <w:color w:val="666666"/>
          <w:sz w:val="19"/>
          <w:szCs w:val="19"/>
          <w:lang w:eastAsia="fr-CA"/>
        </w:rPr>
        <w:t>(RRQ)</w:t>
      </w:r>
      <w:r w:rsidR="0011697A" w:rsidRPr="00C031B8">
        <w:rPr>
          <w:rFonts w:ascii="Rockwell" w:eastAsia="Times New Roman" w:hAnsi="Rockwell"/>
          <w:color w:val="666666"/>
          <w:sz w:val="19"/>
          <w:szCs w:val="19"/>
          <w:lang w:eastAsia="fr-CA"/>
        </w:rPr>
        <w:t xml:space="preserve">, T4A &amp; Rel.2 </w:t>
      </w:r>
      <w:r w:rsidR="0011697A" w:rsidRPr="00C031B8">
        <w:rPr>
          <w:rFonts w:ascii="Rockwell" w:eastAsia="Times New Roman" w:hAnsi="Rockwell"/>
          <w:i/>
          <w:color w:val="666666"/>
          <w:sz w:val="19"/>
          <w:szCs w:val="19"/>
          <w:lang w:eastAsia="fr-CA"/>
        </w:rPr>
        <w:t xml:space="preserve">(RPA privé) </w:t>
      </w:r>
      <w:r w:rsidR="0011697A" w:rsidRPr="00C031B8">
        <w:rPr>
          <w:rFonts w:ascii="Rockwell" w:eastAsia="Times New Roman" w:hAnsi="Rockwell"/>
          <w:color w:val="666666"/>
          <w:sz w:val="19"/>
          <w:szCs w:val="19"/>
          <w:lang w:eastAsia="fr-CA"/>
        </w:rPr>
        <w:t xml:space="preserve">; </w:t>
      </w:r>
    </w:p>
    <w:p w:rsidR="0011697A" w:rsidRPr="00C031B8" w:rsidRDefault="0011697A" w:rsidP="0011697A">
      <w:pPr>
        <w:numPr>
          <w:ilvl w:val="0"/>
          <w:numId w:val="2"/>
        </w:numPr>
        <w:tabs>
          <w:tab w:val="clear" w:pos="720"/>
          <w:tab w:val="num" w:pos="3552"/>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Relevés de retraits REER/FEER : T4RSP &amp; Rel.2 </w:t>
      </w:r>
      <w:r w:rsidRPr="00C031B8">
        <w:rPr>
          <w:rFonts w:ascii="Rockwell" w:eastAsia="Times New Roman" w:hAnsi="Rockwell"/>
          <w:i/>
          <w:color w:val="666666"/>
          <w:sz w:val="19"/>
          <w:szCs w:val="19"/>
          <w:lang w:eastAsia="fr-CA"/>
        </w:rPr>
        <w:t xml:space="preserve">(REER), </w:t>
      </w:r>
      <w:r w:rsidRPr="00C031B8">
        <w:rPr>
          <w:rFonts w:ascii="Rockwell" w:eastAsia="Times New Roman" w:hAnsi="Rockwell"/>
          <w:color w:val="666666"/>
          <w:sz w:val="19"/>
          <w:szCs w:val="19"/>
          <w:lang w:eastAsia="fr-CA"/>
        </w:rPr>
        <w:t xml:space="preserve">T4RIF &amp; Rel.2 </w:t>
      </w:r>
      <w:r w:rsidRPr="00C031B8">
        <w:rPr>
          <w:rFonts w:ascii="Rockwell" w:eastAsia="Times New Roman" w:hAnsi="Rockwell"/>
          <w:i/>
          <w:color w:val="666666"/>
          <w:sz w:val="19"/>
          <w:szCs w:val="19"/>
          <w:lang w:eastAsia="fr-CA"/>
        </w:rPr>
        <w:t>(FEER)</w:t>
      </w:r>
      <w:r w:rsidRPr="00C031B8">
        <w:rPr>
          <w:rFonts w:ascii="Rockwell" w:eastAsia="Times New Roman" w:hAnsi="Rockwell"/>
          <w:color w:val="666666"/>
          <w:sz w:val="19"/>
          <w:szCs w:val="19"/>
          <w:lang w:eastAsia="fr-CA"/>
        </w:rPr>
        <w:t> ;</w:t>
      </w:r>
    </w:p>
    <w:p w:rsidR="0011697A" w:rsidRPr="00C031B8" w:rsidRDefault="0011697A" w:rsidP="0011697A">
      <w:pPr>
        <w:numPr>
          <w:ilvl w:val="0"/>
          <w:numId w:val="2"/>
        </w:numPr>
        <w:tabs>
          <w:tab w:val="clear" w:pos="720"/>
          <w:tab w:val="num" w:pos="3552"/>
        </w:tabs>
        <w:spacing w:before="30" w:after="100" w:afterAutospacing="1" w:line="240" w:lineRule="auto"/>
        <w:ind w:left="1428"/>
        <w:jc w:val="both"/>
        <w:rPr>
          <w:rFonts w:ascii="Rockwell" w:eastAsia="Times New Roman" w:hAnsi="Rockwell"/>
          <w:color w:val="666666"/>
          <w:sz w:val="19"/>
          <w:szCs w:val="19"/>
          <w:u w:val="single"/>
          <w:lang w:eastAsia="fr-CA"/>
        </w:rPr>
      </w:pPr>
      <w:r w:rsidRPr="00C031B8">
        <w:rPr>
          <w:rFonts w:ascii="Rockwell" w:eastAsia="Times New Roman" w:hAnsi="Rockwell"/>
          <w:color w:val="666666"/>
          <w:sz w:val="19"/>
          <w:szCs w:val="19"/>
          <w:u w:val="single"/>
          <w:lang w:eastAsia="fr-CA"/>
        </w:rPr>
        <w:t xml:space="preserve">Maintien à domicile pour les 70 ans et plus : </w:t>
      </w:r>
    </w:p>
    <w:p w:rsidR="0011697A" w:rsidRPr="00C031B8" w:rsidRDefault="0011697A" w:rsidP="0011697A">
      <w:pPr>
        <w:numPr>
          <w:ilvl w:val="1"/>
          <w:numId w:val="2"/>
        </w:numPr>
        <w:tabs>
          <w:tab w:val="clear" w:pos="1440"/>
          <w:tab w:val="num" w:pos="4272"/>
        </w:tabs>
        <w:spacing w:before="30" w:after="100" w:afterAutospacing="1" w:line="240" w:lineRule="auto"/>
        <w:ind w:left="214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Propriétaire d’une maison : Les factures de soins et de services reçues. </w:t>
      </w:r>
    </w:p>
    <w:p w:rsidR="0011697A" w:rsidRPr="00C031B8" w:rsidRDefault="0011697A" w:rsidP="0011697A">
      <w:pPr>
        <w:numPr>
          <w:ilvl w:val="1"/>
          <w:numId w:val="2"/>
        </w:numPr>
        <w:tabs>
          <w:tab w:val="clear" w:pos="1440"/>
          <w:tab w:val="num" w:pos="4272"/>
        </w:tabs>
        <w:spacing w:before="30" w:after="100" w:afterAutospacing="1" w:line="240" w:lineRule="auto"/>
        <w:ind w:left="214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Locataire : une copie de votre bail et/ou la lettre d’augmentation annuelle</w:t>
      </w:r>
      <w:r w:rsidRPr="00C031B8">
        <w:rPr>
          <w:rFonts w:ascii="Rockwell" w:eastAsia="Times New Roman" w:hAnsi="Rockwell"/>
          <w:i/>
          <w:color w:val="666666"/>
          <w:sz w:val="19"/>
          <w:szCs w:val="19"/>
          <w:lang w:eastAsia="fr-CA"/>
        </w:rPr>
        <w:t xml:space="preserve"> </w:t>
      </w:r>
      <w:r w:rsidRPr="00C031B8">
        <w:rPr>
          <w:rFonts w:ascii="Rockwell" w:eastAsia="Times New Roman" w:hAnsi="Rockwell"/>
          <w:color w:val="666666"/>
          <w:sz w:val="19"/>
          <w:szCs w:val="19"/>
          <w:lang w:eastAsia="fr-CA"/>
        </w:rPr>
        <w:t xml:space="preserve">; </w:t>
      </w:r>
    </w:p>
    <w:p w:rsidR="0011697A" w:rsidRPr="00C031B8" w:rsidRDefault="0011697A" w:rsidP="0011697A">
      <w:pPr>
        <w:numPr>
          <w:ilvl w:val="1"/>
          <w:numId w:val="2"/>
        </w:numPr>
        <w:tabs>
          <w:tab w:val="clear" w:pos="1440"/>
          <w:tab w:val="num" w:pos="4272"/>
        </w:tabs>
        <w:spacing w:before="30" w:after="100" w:afterAutospacing="1" w:line="240" w:lineRule="auto"/>
        <w:ind w:left="214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Propriétaire de condominium : Le formulaire </w:t>
      </w:r>
      <w:r w:rsidRPr="007F7C32">
        <w:rPr>
          <w:rFonts w:ascii="Rockwell" w:eastAsia="Times New Roman" w:hAnsi="Rockwell"/>
          <w:sz w:val="19"/>
          <w:szCs w:val="19"/>
          <w:lang w:eastAsia="fr-CA"/>
        </w:rPr>
        <w:t>TPZ-1029.MD.5</w:t>
      </w:r>
      <w:r w:rsidRPr="00C031B8">
        <w:rPr>
          <w:rFonts w:ascii="Rockwell" w:eastAsia="Times New Roman" w:hAnsi="Rockwell"/>
          <w:color w:val="666666"/>
          <w:sz w:val="19"/>
          <w:szCs w:val="19"/>
          <w:lang w:eastAsia="fr-CA"/>
        </w:rPr>
        <w:t xml:space="preserve"> </w:t>
      </w:r>
    </w:p>
    <w:p w:rsidR="0011697A" w:rsidRPr="00C031B8" w:rsidRDefault="0011697A" w:rsidP="0011697A">
      <w:pPr>
        <w:numPr>
          <w:ilvl w:val="0"/>
          <w:numId w:val="2"/>
        </w:numPr>
        <w:tabs>
          <w:tab w:val="clear" w:pos="720"/>
          <w:tab w:val="num" w:pos="3552"/>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Relevé19, seulement si vous avez anticipé par versements le crédit remboursable relatif au maintien à domicile d’une personne âgée ;</w:t>
      </w:r>
    </w:p>
    <w:p w:rsidR="0011697A" w:rsidRPr="00C031B8" w:rsidRDefault="0011697A" w:rsidP="0011697A">
      <w:pPr>
        <w:numPr>
          <w:ilvl w:val="0"/>
          <w:numId w:val="2"/>
        </w:numPr>
        <w:tabs>
          <w:tab w:val="clear" w:pos="720"/>
          <w:tab w:val="num" w:pos="3552"/>
        </w:tabs>
        <w:spacing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Le détail de vos versements d’acomptes d’impôts provisionnels </w:t>
      </w:r>
      <w:r w:rsidRPr="00C031B8">
        <w:rPr>
          <w:rFonts w:ascii="Rockwell" w:eastAsia="Times New Roman" w:hAnsi="Rockwell"/>
          <w:i/>
          <w:color w:val="666666"/>
          <w:sz w:val="19"/>
          <w:szCs w:val="19"/>
          <w:lang w:eastAsia="fr-CA"/>
        </w:rPr>
        <w:t>(Impôts payés d’avance)</w:t>
      </w:r>
      <w:r w:rsidRPr="00C031B8">
        <w:rPr>
          <w:rFonts w:ascii="Rockwell" w:eastAsia="Times New Roman" w:hAnsi="Rockwell"/>
          <w:color w:val="666666"/>
          <w:sz w:val="19"/>
          <w:szCs w:val="19"/>
          <w:lang w:eastAsia="fr-CA"/>
        </w:rPr>
        <w:t> ;</w:t>
      </w:r>
    </w:p>
    <w:p w:rsidR="0011697A" w:rsidRPr="00C031B8" w:rsidRDefault="0011697A" w:rsidP="0011697A">
      <w:pPr>
        <w:numPr>
          <w:ilvl w:val="0"/>
          <w:numId w:val="2"/>
        </w:numPr>
        <w:tabs>
          <w:tab w:val="clear" w:pos="720"/>
          <w:tab w:val="num" w:pos="3552"/>
        </w:tabs>
        <w:spacing w:after="0"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Lettre médicale confirmant tout handicap majeur le cas échéant.</w:t>
      </w:r>
    </w:p>
    <w:p w:rsidR="0011697A" w:rsidRPr="00C031B8" w:rsidRDefault="0011697A" w:rsidP="0011697A">
      <w:pPr>
        <w:spacing w:after="0" w:line="240" w:lineRule="auto"/>
        <w:ind w:left="1428"/>
        <w:jc w:val="both"/>
        <w:rPr>
          <w:rFonts w:ascii="Rockwell" w:eastAsia="Times New Roman" w:hAnsi="Rockwell"/>
          <w:color w:val="666666"/>
          <w:sz w:val="19"/>
          <w:szCs w:val="19"/>
          <w:lang w:eastAsia="fr-CA"/>
        </w:rPr>
      </w:pPr>
    </w:p>
    <w:p w:rsidR="0011697A" w:rsidRPr="00C031B8" w:rsidRDefault="00605900" w:rsidP="0011697A">
      <w:pPr>
        <w:numPr>
          <w:ilvl w:val="0"/>
          <w:numId w:val="2"/>
        </w:numPr>
        <w:tabs>
          <w:tab w:val="clear" w:pos="720"/>
          <w:tab w:val="num" w:pos="3552"/>
        </w:tabs>
        <w:spacing w:after="0" w:line="240" w:lineRule="auto"/>
        <w:ind w:left="1428"/>
        <w:jc w:val="both"/>
        <w:rPr>
          <w:rFonts w:ascii="Rockwell" w:eastAsia="Times New Roman" w:hAnsi="Rockwell"/>
          <w:color w:val="666666"/>
          <w:sz w:val="19"/>
          <w:szCs w:val="19"/>
          <w:lang w:eastAsia="fr-CA"/>
        </w:rPr>
      </w:pPr>
      <w:r>
        <w:rPr>
          <w:rFonts w:ascii="Rockwell" w:eastAsia="Times New Roman" w:hAnsi="Rockwell"/>
          <w:color w:val="666666"/>
          <w:sz w:val="19"/>
          <w:szCs w:val="19"/>
          <w:lang w:eastAsia="fr-CA"/>
        </w:rPr>
        <w:pict>
          <v:shape id="_x0000_s1039" type="#_x0000_t202" style="position:absolute;left:0;text-align:left;margin-left:-25.35pt;margin-top:5.6pt;width:66.95pt;height:193.05pt;z-index:251664384">
            <v:textbox style="mso-next-textbox:#_x0000_s1039">
              <w:txbxContent>
                <w:p w:rsidR="0011697A" w:rsidRPr="00073C91" w:rsidRDefault="0011697A" w:rsidP="0011697A">
                  <w:pPr>
                    <w:spacing w:before="30" w:after="100" w:afterAutospacing="1" w:line="240" w:lineRule="auto"/>
                    <w:jc w:val="center"/>
                    <w:rPr>
                      <w:rFonts w:ascii="Rockwell" w:hAnsi="Rockwell"/>
                      <w:b/>
                      <w:color w:val="0070C0"/>
                      <w:sz w:val="16"/>
                      <w:szCs w:val="16"/>
                    </w:rPr>
                  </w:pPr>
                  <w:r w:rsidRPr="00073C91">
                    <w:rPr>
                      <w:rFonts w:ascii="Rockwell" w:hAnsi="Rockwell"/>
                      <w:b/>
                      <w:color w:val="0070C0"/>
                      <w:sz w:val="16"/>
                      <w:szCs w:val="16"/>
                    </w:rPr>
                    <w:t>Travailleur Autonome</w:t>
                  </w:r>
                </w:p>
              </w:txbxContent>
            </v:textbox>
          </v:shape>
        </w:pict>
      </w:r>
      <w:r w:rsidR="0011697A" w:rsidRPr="00C031B8">
        <w:rPr>
          <w:rFonts w:ascii="Rockwell" w:eastAsia="Times New Roman" w:hAnsi="Rockwell"/>
          <w:color w:val="666666"/>
          <w:sz w:val="19"/>
          <w:szCs w:val="19"/>
          <w:lang w:eastAsia="fr-CA"/>
        </w:rPr>
        <w:t xml:space="preserve">Fournir la liste des revenus et dépenses pour l’année. Les dépenses doivent être compilées et catégorisées au moyen du </w:t>
      </w:r>
      <w:r w:rsidR="0011697A" w:rsidRPr="007F7C32">
        <w:rPr>
          <w:rFonts w:ascii="Rockwell" w:eastAsia="Times New Roman" w:hAnsi="Rockwell"/>
          <w:sz w:val="19"/>
          <w:szCs w:val="19"/>
          <w:lang w:eastAsia="fr-CA"/>
        </w:rPr>
        <w:t>formulaire de compilation des données</w:t>
      </w:r>
      <w:r w:rsidR="0011697A" w:rsidRPr="00C031B8">
        <w:rPr>
          <w:rFonts w:ascii="Rockwell" w:eastAsia="Times New Roman" w:hAnsi="Rockwell"/>
          <w:color w:val="666666"/>
          <w:sz w:val="19"/>
          <w:szCs w:val="19"/>
          <w:lang w:eastAsia="fr-CA"/>
        </w:rPr>
        <w:t xml:space="preserve"> que vous trouverez sur notre site web. </w:t>
      </w:r>
      <w:r w:rsidR="0011697A" w:rsidRPr="00C031B8">
        <w:rPr>
          <w:rFonts w:ascii="Rockwell" w:eastAsia="Times New Roman" w:hAnsi="Rockwell"/>
          <w:i/>
          <w:color w:val="666666"/>
          <w:sz w:val="19"/>
          <w:szCs w:val="19"/>
          <w:lang w:eastAsia="fr-CA"/>
        </w:rPr>
        <w:t>(Nb. : Les factures ne sont pas nécessaires)</w:t>
      </w:r>
      <w:r w:rsidR="0011697A" w:rsidRPr="00C031B8">
        <w:rPr>
          <w:rFonts w:ascii="Rockwell" w:eastAsia="Times New Roman" w:hAnsi="Rockwell"/>
          <w:color w:val="666666"/>
          <w:sz w:val="19"/>
          <w:szCs w:val="19"/>
          <w:lang w:eastAsia="fr-CA"/>
        </w:rPr>
        <w:t xml:space="preserve"> ;</w:t>
      </w:r>
    </w:p>
    <w:p w:rsidR="0011697A" w:rsidRPr="00C031B8" w:rsidRDefault="0011697A" w:rsidP="0011697A">
      <w:pPr>
        <w:numPr>
          <w:ilvl w:val="0"/>
          <w:numId w:val="2"/>
        </w:numPr>
        <w:tabs>
          <w:tab w:val="clear" w:pos="720"/>
          <w:tab w:val="num" w:pos="2844"/>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Fournir les factures et pièces justificatives qui appuient les achats majeurs en immobilisation </w:t>
      </w:r>
      <w:r w:rsidRPr="00C031B8">
        <w:rPr>
          <w:rFonts w:ascii="Rockwell" w:eastAsia="Times New Roman" w:hAnsi="Rockwell"/>
          <w:i/>
          <w:color w:val="666666"/>
          <w:sz w:val="19"/>
          <w:szCs w:val="19"/>
          <w:lang w:eastAsia="fr-CA"/>
        </w:rPr>
        <w:t xml:space="preserve">(factures de 400$ et +). Essentiellement le matériel, les équipements. le mobilier ou les immeubles. </w:t>
      </w:r>
    </w:p>
    <w:p w:rsidR="0011697A" w:rsidRPr="00C031B8" w:rsidRDefault="0011697A" w:rsidP="0011697A">
      <w:pPr>
        <w:numPr>
          <w:ilvl w:val="0"/>
          <w:numId w:val="2"/>
        </w:numPr>
        <w:tabs>
          <w:tab w:val="clear" w:pos="720"/>
          <w:tab w:val="num" w:pos="2844"/>
        </w:tabs>
        <w:spacing w:before="30" w:after="100" w:afterAutospacing="1" w:line="240" w:lineRule="auto"/>
        <w:ind w:left="1428"/>
        <w:jc w:val="both"/>
        <w:rPr>
          <w:rFonts w:ascii="Rockwell" w:eastAsia="Times New Roman" w:hAnsi="Rockwell"/>
          <w:i/>
          <w:color w:val="666666"/>
          <w:sz w:val="19"/>
          <w:szCs w:val="19"/>
          <w:lang w:eastAsia="fr-CA"/>
        </w:rPr>
      </w:pPr>
      <w:r w:rsidRPr="00C031B8">
        <w:rPr>
          <w:rFonts w:ascii="Rockwell" w:eastAsia="Times New Roman" w:hAnsi="Rockwell"/>
          <w:color w:val="666666"/>
          <w:sz w:val="19"/>
          <w:szCs w:val="19"/>
          <w:lang w:eastAsia="fr-CA"/>
        </w:rPr>
        <w:t xml:space="preserve">Dénombrer l’inventaire physique des stocks et déterminer la valeur en argent au 31 décembre. </w:t>
      </w:r>
      <w:r w:rsidRPr="00C031B8">
        <w:rPr>
          <w:rFonts w:ascii="Rockwell" w:eastAsia="Times New Roman" w:hAnsi="Rockwell"/>
          <w:i/>
          <w:color w:val="666666"/>
          <w:sz w:val="19"/>
          <w:szCs w:val="19"/>
          <w:lang w:eastAsia="fr-CA"/>
        </w:rPr>
        <w:t>(Applicable seulement si vous détenez un inventaire de produits)</w:t>
      </w:r>
    </w:p>
    <w:p w:rsidR="0011697A" w:rsidRPr="00C031B8" w:rsidRDefault="0011697A" w:rsidP="0011697A">
      <w:pPr>
        <w:numPr>
          <w:ilvl w:val="0"/>
          <w:numId w:val="2"/>
        </w:numPr>
        <w:tabs>
          <w:tab w:val="clear" w:pos="720"/>
          <w:tab w:val="num" w:pos="2844"/>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Fournir le contrat d’achat ou de location de votre véhicule et assurez-vous de tenir un </w:t>
      </w:r>
      <w:r w:rsidRPr="007F7C32">
        <w:rPr>
          <w:rFonts w:ascii="Rockwell" w:eastAsia="Times New Roman" w:hAnsi="Rockwell"/>
          <w:sz w:val="19"/>
          <w:szCs w:val="19"/>
          <w:lang w:eastAsia="fr-CA"/>
        </w:rPr>
        <w:t>registre de Kilométrage</w:t>
      </w:r>
      <w:r w:rsidRPr="00C031B8">
        <w:rPr>
          <w:rFonts w:ascii="Rockwell" w:eastAsia="Times New Roman" w:hAnsi="Rockwell"/>
          <w:color w:val="666666"/>
          <w:sz w:val="19"/>
          <w:szCs w:val="19"/>
          <w:lang w:eastAsia="fr-CA"/>
        </w:rPr>
        <w:t xml:space="preserve"> pour appuyer tous vos déplacements affaires. </w:t>
      </w:r>
      <w:r w:rsidRPr="00C031B8">
        <w:rPr>
          <w:rFonts w:ascii="Rockwell" w:eastAsia="Times New Roman" w:hAnsi="Rockwell"/>
          <w:i/>
          <w:color w:val="666666"/>
          <w:sz w:val="19"/>
          <w:szCs w:val="19"/>
          <w:lang w:eastAsia="fr-CA"/>
        </w:rPr>
        <w:t xml:space="preserve">(Ne pas nous inclure le registre). </w:t>
      </w:r>
      <w:r w:rsidRPr="00C031B8">
        <w:rPr>
          <w:rFonts w:ascii="Rockwell" w:eastAsia="Times New Roman" w:hAnsi="Rockwell"/>
          <w:color w:val="666666"/>
          <w:sz w:val="19"/>
          <w:szCs w:val="19"/>
          <w:lang w:eastAsia="fr-CA"/>
        </w:rPr>
        <w:t xml:space="preserve">De plus, vous devez compiler vos dépenses annuelles à la page 2 du </w:t>
      </w:r>
      <w:r w:rsidRPr="007F7C32">
        <w:rPr>
          <w:rFonts w:ascii="Rockwell" w:eastAsia="Times New Roman" w:hAnsi="Rockwell"/>
          <w:sz w:val="19"/>
          <w:szCs w:val="19"/>
          <w:lang w:eastAsia="fr-CA"/>
        </w:rPr>
        <w:t>formulaire de compilation des données</w:t>
      </w:r>
      <w:r w:rsidRPr="00C031B8">
        <w:rPr>
          <w:rFonts w:ascii="Rockwell" w:eastAsia="Times New Roman" w:hAnsi="Rockwell"/>
          <w:color w:val="666666"/>
          <w:sz w:val="19"/>
          <w:szCs w:val="19"/>
          <w:lang w:eastAsia="fr-CA"/>
        </w:rPr>
        <w:t xml:space="preserve"> en prenant soin de remplir les caractéristiques et les données KM. Si vous avez changé de véhicule au courant de l’année, utilisez un formulaire distinct pour chaque voiture.</w:t>
      </w:r>
      <w:r w:rsidRPr="00C031B8">
        <w:rPr>
          <w:rFonts w:ascii="Rockwell" w:eastAsia="Times New Roman" w:hAnsi="Rockwell"/>
          <w:i/>
          <w:color w:val="666666"/>
          <w:sz w:val="19"/>
          <w:szCs w:val="19"/>
          <w:lang w:eastAsia="fr-CA"/>
        </w:rPr>
        <w:t xml:space="preserve"> </w:t>
      </w:r>
    </w:p>
    <w:p w:rsidR="0011697A" w:rsidRPr="00C031B8" w:rsidRDefault="0011697A" w:rsidP="0011697A">
      <w:pPr>
        <w:numPr>
          <w:ilvl w:val="0"/>
          <w:numId w:val="2"/>
        </w:numPr>
        <w:tabs>
          <w:tab w:val="clear" w:pos="720"/>
          <w:tab w:val="num" w:pos="2844"/>
        </w:tabs>
        <w:spacing w:after="0"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Si vous utilisez votre résidence personnelle pour exploiter votre entreprise, vous devez fournir un plan détaillé de la superficie occupée par votre activité ou commerce relativement à la superficie totale et habitable de votre domicile. De plus, vous devez effectuer le décompte de vos dépenses annuelles à la page 2 du </w:t>
      </w:r>
      <w:r w:rsidRPr="007F7C32">
        <w:rPr>
          <w:rFonts w:ascii="Rockwell" w:eastAsia="Times New Roman" w:hAnsi="Rockwell"/>
          <w:sz w:val="19"/>
          <w:szCs w:val="19"/>
          <w:lang w:eastAsia="fr-CA"/>
        </w:rPr>
        <w:t>formulaire intitulé compilation des données</w:t>
      </w:r>
      <w:r w:rsidRPr="00C031B8">
        <w:rPr>
          <w:rFonts w:ascii="Rockwell" w:eastAsia="Times New Roman" w:hAnsi="Rockwell"/>
          <w:color w:val="666666"/>
          <w:sz w:val="19"/>
          <w:szCs w:val="19"/>
          <w:lang w:eastAsia="fr-CA"/>
        </w:rPr>
        <w:t>. Si vous avez déménagé au courant de l’année, utilisez un formulaire distinct pour chacune des résidences.</w:t>
      </w:r>
    </w:p>
    <w:p w:rsidR="0011697A" w:rsidRPr="00C031B8" w:rsidRDefault="0011697A" w:rsidP="0011697A">
      <w:pPr>
        <w:spacing w:after="0" w:line="240" w:lineRule="auto"/>
        <w:ind w:left="708"/>
        <w:jc w:val="both"/>
        <w:rPr>
          <w:rFonts w:ascii="Rockwell" w:eastAsia="Times New Roman" w:hAnsi="Rockwell"/>
          <w:color w:val="666666"/>
          <w:sz w:val="19"/>
          <w:szCs w:val="19"/>
          <w:lang w:eastAsia="fr-CA"/>
        </w:rPr>
      </w:pPr>
    </w:p>
    <w:p w:rsidR="0011697A" w:rsidRPr="00C031B8" w:rsidRDefault="00605900" w:rsidP="0011697A">
      <w:pPr>
        <w:numPr>
          <w:ilvl w:val="0"/>
          <w:numId w:val="2"/>
        </w:numPr>
        <w:tabs>
          <w:tab w:val="clear" w:pos="720"/>
          <w:tab w:val="num" w:pos="2844"/>
        </w:tabs>
        <w:spacing w:after="0" w:line="240" w:lineRule="auto"/>
        <w:ind w:left="1428"/>
        <w:jc w:val="both"/>
        <w:rPr>
          <w:rFonts w:ascii="Rockwell" w:eastAsia="Times New Roman" w:hAnsi="Rockwell"/>
          <w:color w:val="666666"/>
          <w:sz w:val="19"/>
          <w:szCs w:val="19"/>
          <w:lang w:eastAsia="fr-CA"/>
        </w:rPr>
      </w:pPr>
      <w:r>
        <w:rPr>
          <w:rFonts w:ascii="Rockwell" w:eastAsia="Times New Roman" w:hAnsi="Rockwell"/>
          <w:color w:val="666666"/>
          <w:sz w:val="19"/>
          <w:szCs w:val="19"/>
          <w:lang w:eastAsia="fr-CA"/>
        </w:rPr>
        <w:pict>
          <v:shape id="_x0000_s1041" type="#_x0000_t202" style="position:absolute;left:0;text-align:left;margin-left:-25.35pt;margin-top:3.45pt;width:67.5pt;height:222.1pt;z-index:251666432">
            <v:textbox style="mso-next-textbox:#_x0000_s1041">
              <w:txbxContent>
                <w:p w:rsidR="0011697A" w:rsidRPr="00073C91" w:rsidRDefault="0011697A" w:rsidP="0011697A">
                  <w:pPr>
                    <w:spacing w:before="30" w:after="100" w:afterAutospacing="1" w:line="240" w:lineRule="auto"/>
                    <w:jc w:val="center"/>
                    <w:rPr>
                      <w:rFonts w:ascii="Rockwell" w:hAnsi="Rockwell"/>
                      <w:b/>
                      <w:color w:val="0070C0"/>
                      <w:sz w:val="16"/>
                      <w:szCs w:val="16"/>
                    </w:rPr>
                  </w:pPr>
                  <w:r w:rsidRPr="00073C91">
                    <w:rPr>
                      <w:rFonts w:ascii="Rockwell" w:hAnsi="Rockwell"/>
                      <w:b/>
                      <w:color w:val="0070C0"/>
                      <w:sz w:val="16"/>
                      <w:szCs w:val="16"/>
                    </w:rPr>
                    <w:t>Immeuble locatif</w:t>
                  </w:r>
                </w:p>
              </w:txbxContent>
            </v:textbox>
          </v:shape>
        </w:pict>
      </w:r>
      <w:r w:rsidR="0011697A" w:rsidRPr="00C031B8">
        <w:rPr>
          <w:rFonts w:ascii="Rockwell" w:eastAsia="Times New Roman" w:hAnsi="Rockwell"/>
          <w:color w:val="666666"/>
          <w:sz w:val="19"/>
          <w:szCs w:val="19"/>
          <w:lang w:eastAsia="fr-CA"/>
        </w:rPr>
        <w:t xml:space="preserve">Fournir la liste des revenus et dépenses pour l’année. Les dépenses doivent être compilées et catégorisées au moyen du </w:t>
      </w:r>
      <w:r w:rsidR="0011697A" w:rsidRPr="007F7C32">
        <w:rPr>
          <w:rFonts w:ascii="Rockwell" w:eastAsia="Times New Roman" w:hAnsi="Rockwell"/>
          <w:sz w:val="19"/>
          <w:szCs w:val="19"/>
          <w:lang w:eastAsia="fr-CA"/>
        </w:rPr>
        <w:t>formulaire de compilation des données</w:t>
      </w:r>
      <w:r w:rsidR="0011697A" w:rsidRPr="00C031B8">
        <w:rPr>
          <w:rFonts w:ascii="Rockwell" w:eastAsia="Times New Roman" w:hAnsi="Rockwell"/>
          <w:color w:val="666666"/>
          <w:sz w:val="19"/>
          <w:szCs w:val="19"/>
          <w:lang w:eastAsia="fr-CA"/>
        </w:rPr>
        <w:t xml:space="preserve"> disponible en ligne sur notre site web. </w:t>
      </w:r>
      <w:r w:rsidR="0011697A" w:rsidRPr="00C031B8">
        <w:rPr>
          <w:rFonts w:ascii="Rockwell" w:eastAsia="Times New Roman" w:hAnsi="Rockwell"/>
          <w:i/>
          <w:color w:val="666666"/>
          <w:sz w:val="19"/>
          <w:szCs w:val="19"/>
          <w:lang w:eastAsia="fr-CA"/>
        </w:rPr>
        <w:t>(Nb. : Les factures ne sont pas nécessaires)</w:t>
      </w:r>
      <w:r w:rsidR="0011697A" w:rsidRPr="00C031B8">
        <w:rPr>
          <w:rFonts w:ascii="Rockwell" w:eastAsia="Times New Roman" w:hAnsi="Rockwell"/>
          <w:color w:val="666666"/>
          <w:sz w:val="19"/>
          <w:szCs w:val="19"/>
          <w:lang w:eastAsia="fr-CA"/>
        </w:rPr>
        <w:t xml:space="preserve"> ;</w:t>
      </w:r>
    </w:p>
    <w:p w:rsidR="0011697A" w:rsidRPr="00C031B8" w:rsidRDefault="0011697A" w:rsidP="0011697A">
      <w:pPr>
        <w:numPr>
          <w:ilvl w:val="0"/>
          <w:numId w:val="2"/>
        </w:numPr>
        <w:tabs>
          <w:tab w:val="clear" w:pos="720"/>
          <w:tab w:val="num" w:pos="2136"/>
        </w:tabs>
        <w:spacing w:before="30" w:after="100" w:afterAutospacing="1"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Fournir les factures ou lot de factures qui appuient les dépenses majeures d’amélioration, de rénovation et de réparation. </w:t>
      </w:r>
      <w:r w:rsidRPr="00C031B8">
        <w:rPr>
          <w:rFonts w:ascii="Rockwell" w:eastAsia="Times New Roman" w:hAnsi="Rockwell"/>
          <w:i/>
          <w:color w:val="666666"/>
          <w:sz w:val="19"/>
          <w:szCs w:val="19"/>
          <w:lang w:eastAsia="fr-CA"/>
        </w:rPr>
        <w:t>(Essentiellement les projets dont le montant est supérieur à 500$).</w:t>
      </w:r>
    </w:p>
    <w:p w:rsidR="0011697A" w:rsidRPr="00C031B8" w:rsidRDefault="0011697A" w:rsidP="0011697A">
      <w:pPr>
        <w:numPr>
          <w:ilvl w:val="0"/>
          <w:numId w:val="2"/>
        </w:numPr>
        <w:tabs>
          <w:tab w:val="clear" w:pos="720"/>
          <w:tab w:val="num" w:pos="2136"/>
        </w:tabs>
        <w:spacing w:before="30" w:after="0"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color w:val="666666"/>
          <w:sz w:val="19"/>
          <w:szCs w:val="19"/>
          <w:lang w:eastAsia="fr-CA"/>
        </w:rPr>
        <w:t xml:space="preserve">Si vous avez engagé des frais de main-d’œuvre pour de l’entretien ou pour des rénovations sur votre immeuble locatif, vous devez obligatoirement remplir le formulaire </w:t>
      </w:r>
      <w:r w:rsidRPr="007F7C32">
        <w:rPr>
          <w:rFonts w:ascii="Rockwell" w:eastAsia="Times New Roman" w:hAnsi="Rockwell"/>
          <w:sz w:val="19"/>
          <w:szCs w:val="19"/>
          <w:lang w:eastAsia="fr-CA"/>
        </w:rPr>
        <w:t>TP-1086.R.23.12</w:t>
      </w:r>
      <w:r w:rsidRPr="00C031B8">
        <w:rPr>
          <w:rFonts w:ascii="Rockwell" w:eastAsia="Times New Roman" w:hAnsi="Rockwell"/>
          <w:color w:val="666666"/>
          <w:sz w:val="19"/>
          <w:szCs w:val="19"/>
          <w:lang w:eastAsia="fr-CA"/>
        </w:rPr>
        <w:t xml:space="preserve"> afin d’informer Revenu Québec de toute personne qui a effectué des travaux et pour lequel vous demandez une déduction.  Vous devrez fournir leur nom, adresse, soit leur numéro d’assurance sociale ou leur numéro de TVQ, s’ils sont enregistrés aux taxes, et nous remettre ce document ou du moins ces informations en les transcrivant à la section 2 du formulaire de compilation.</w:t>
      </w:r>
    </w:p>
    <w:p w:rsidR="0011697A" w:rsidRPr="00C031B8" w:rsidRDefault="0011697A" w:rsidP="0011697A">
      <w:pPr>
        <w:numPr>
          <w:ilvl w:val="0"/>
          <w:numId w:val="2"/>
        </w:numPr>
        <w:tabs>
          <w:tab w:val="clear" w:pos="720"/>
          <w:tab w:val="num" w:pos="2136"/>
        </w:tabs>
        <w:spacing w:before="30" w:after="0"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bCs/>
          <w:color w:val="666666"/>
          <w:sz w:val="19"/>
          <w:szCs w:val="19"/>
          <w:lang w:eastAsia="fr-CA"/>
        </w:rPr>
        <w:t>Notez que s'il y a achat d'une propriété à revenus au cours de l'année, vous devez nous apporter le contrat notarié, la note des frais de mutation, ainsi que la répartition faite chez le notaire. Le fait d'avoir ces documents au dossier accélèrera le traitement fiscal lors de la revente.</w:t>
      </w:r>
    </w:p>
    <w:p w:rsidR="0011697A" w:rsidRPr="00C031B8" w:rsidRDefault="0011697A" w:rsidP="0011697A">
      <w:pPr>
        <w:numPr>
          <w:ilvl w:val="0"/>
          <w:numId w:val="2"/>
        </w:numPr>
        <w:tabs>
          <w:tab w:val="clear" w:pos="720"/>
          <w:tab w:val="num" w:pos="2136"/>
        </w:tabs>
        <w:spacing w:after="0" w:line="240" w:lineRule="auto"/>
        <w:ind w:left="1428"/>
        <w:jc w:val="both"/>
        <w:rPr>
          <w:rFonts w:ascii="Rockwell" w:eastAsia="Times New Roman" w:hAnsi="Rockwell"/>
          <w:color w:val="666666"/>
          <w:sz w:val="19"/>
          <w:szCs w:val="19"/>
          <w:lang w:eastAsia="fr-CA"/>
        </w:rPr>
      </w:pPr>
      <w:r w:rsidRPr="00C031B8">
        <w:rPr>
          <w:rFonts w:ascii="Rockwell" w:eastAsia="Times New Roman" w:hAnsi="Rockwell"/>
          <w:bCs/>
          <w:color w:val="666666"/>
          <w:sz w:val="19"/>
          <w:szCs w:val="19"/>
          <w:lang w:eastAsia="fr-CA"/>
        </w:rPr>
        <w:t>Enfin, lorsqu'il y a vente d'un immeuble à revenus au cours de l'année nous devons avoir en mains les informations lors de l'achat, si nous ne les avons pas déjà au dossier, ainsi que toutes les informations lors de le vente (contrat notarié, répartition chez le notaire, frais de courtage, etc.). De plus, vous devrez nous fournir tous les rapports d’impôts que vous avez faits faire ailleurs durant les années de détention de l’immeuble.</w:t>
      </w:r>
    </w:p>
    <w:p w:rsidR="0011697A" w:rsidRPr="00C031B8" w:rsidRDefault="00605900" w:rsidP="0011697A">
      <w:pPr>
        <w:numPr>
          <w:ilvl w:val="0"/>
          <w:numId w:val="2"/>
        </w:numPr>
        <w:tabs>
          <w:tab w:val="clear" w:pos="720"/>
          <w:tab w:val="num" w:pos="2136"/>
        </w:tabs>
        <w:spacing w:after="0" w:line="240" w:lineRule="auto"/>
        <w:ind w:left="1428"/>
        <w:jc w:val="both"/>
        <w:rPr>
          <w:rFonts w:ascii="Rockwell" w:eastAsia="Times New Roman" w:hAnsi="Rockwell"/>
          <w:color w:val="666666"/>
          <w:sz w:val="19"/>
          <w:szCs w:val="19"/>
          <w:lang w:eastAsia="fr-CA"/>
        </w:rPr>
      </w:pPr>
      <w:r>
        <w:rPr>
          <w:rFonts w:ascii="Rockwell" w:eastAsia="Times New Roman" w:hAnsi="Rockwell"/>
          <w:color w:val="666666"/>
          <w:sz w:val="19"/>
          <w:szCs w:val="19"/>
          <w:lang w:eastAsia="fr-CA"/>
        </w:rPr>
        <w:pict>
          <v:shape id="_x0000_s1040" type="#_x0000_t202" style="position:absolute;left:0;text-align:left;margin-left:-25.35pt;margin-top:3.6pt;width:67.5pt;height:26.75pt;z-index:251665408">
            <v:textbox style="mso-next-textbox:#_x0000_s1040">
              <w:txbxContent>
                <w:p w:rsidR="0011697A" w:rsidRPr="00073C91" w:rsidRDefault="0011697A" w:rsidP="0011697A">
                  <w:pPr>
                    <w:spacing w:before="30" w:after="100" w:afterAutospacing="1" w:line="240" w:lineRule="auto"/>
                    <w:jc w:val="center"/>
                    <w:rPr>
                      <w:rFonts w:ascii="Rockwell" w:hAnsi="Rockwell"/>
                      <w:b/>
                      <w:color w:val="0070C0"/>
                    </w:rPr>
                  </w:pPr>
                  <w:r w:rsidRPr="00073C91">
                    <w:rPr>
                      <w:rFonts w:ascii="Rockwell" w:hAnsi="Rockwell"/>
                      <w:b/>
                      <w:color w:val="0070C0"/>
                      <w:sz w:val="16"/>
                      <w:szCs w:val="16"/>
                    </w:rPr>
                    <w:t>Employé à</w:t>
                  </w:r>
                  <w:r w:rsidRPr="00073C91">
                    <w:rPr>
                      <w:rFonts w:ascii="Rockwell" w:hAnsi="Rockwell"/>
                      <w:b/>
                      <w:color w:val="0070C0"/>
                    </w:rPr>
                    <w:t xml:space="preserve"> </w:t>
                  </w:r>
                  <w:r w:rsidRPr="00073C91">
                    <w:rPr>
                      <w:rFonts w:ascii="Rockwell" w:hAnsi="Rockwell"/>
                      <w:b/>
                      <w:color w:val="0070C0"/>
                      <w:sz w:val="16"/>
                      <w:szCs w:val="16"/>
                    </w:rPr>
                    <w:t>commission</w:t>
                  </w:r>
                </w:p>
              </w:txbxContent>
            </v:textbox>
          </v:shape>
        </w:pict>
      </w:r>
      <w:r w:rsidR="0011697A" w:rsidRPr="00C031B8">
        <w:rPr>
          <w:rFonts w:ascii="Rockwell" w:eastAsia="Times New Roman" w:hAnsi="Rockwell"/>
          <w:color w:val="666666"/>
          <w:sz w:val="19"/>
          <w:szCs w:val="19"/>
          <w:lang w:eastAsia="fr-CA"/>
        </w:rPr>
        <w:t>La liste des dépenses d’emploi pour les salariés et travailleurs à commission</w:t>
      </w:r>
      <w:r w:rsidR="0011697A" w:rsidRPr="00C031B8">
        <w:rPr>
          <w:rFonts w:ascii="Rockwell" w:eastAsia="Times New Roman" w:hAnsi="Rockwell"/>
          <w:i/>
          <w:color w:val="666666"/>
          <w:sz w:val="19"/>
          <w:szCs w:val="19"/>
          <w:lang w:eastAsia="fr-CA"/>
        </w:rPr>
        <w:t>,</w:t>
      </w:r>
      <w:r w:rsidR="0011697A" w:rsidRPr="00C031B8">
        <w:rPr>
          <w:rFonts w:ascii="Rockwell" w:eastAsia="Times New Roman" w:hAnsi="Rockwell"/>
          <w:color w:val="666666"/>
          <w:sz w:val="19"/>
          <w:szCs w:val="19"/>
          <w:lang w:eastAsia="fr-CA"/>
        </w:rPr>
        <w:t xml:space="preserve"> les    formulaires </w:t>
      </w:r>
      <w:r w:rsidR="0011697A" w:rsidRPr="007F7C32">
        <w:rPr>
          <w:rFonts w:ascii="Rockwell" w:eastAsia="Times New Roman" w:hAnsi="Rockwell"/>
          <w:sz w:val="19"/>
          <w:szCs w:val="19"/>
          <w:lang w:eastAsia="fr-CA"/>
        </w:rPr>
        <w:t>T2200</w:t>
      </w:r>
      <w:r w:rsidR="0011697A" w:rsidRPr="00C031B8">
        <w:rPr>
          <w:rFonts w:ascii="Rockwell" w:eastAsia="Times New Roman" w:hAnsi="Rockwell"/>
          <w:color w:val="666666"/>
          <w:sz w:val="19"/>
          <w:szCs w:val="19"/>
          <w:lang w:eastAsia="fr-CA"/>
        </w:rPr>
        <w:t>/</w:t>
      </w:r>
      <w:r w:rsidR="0011697A" w:rsidRPr="007F7C32">
        <w:rPr>
          <w:rFonts w:ascii="Rockwell" w:eastAsia="Times New Roman" w:hAnsi="Rockwell"/>
          <w:sz w:val="19"/>
          <w:szCs w:val="19"/>
          <w:lang w:eastAsia="fr-CA"/>
        </w:rPr>
        <w:t>TP-64.3</w:t>
      </w:r>
      <w:r w:rsidR="0011697A" w:rsidRPr="00C031B8">
        <w:rPr>
          <w:rFonts w:ascii="Rockwell" w:eastAsia="Times New Roman" w:hAnsi="Rockwell"/>
          <w:color w:val="666666"/>
          <w:sz w:val="19"/>
          <w:szCs w:val="19"/>
          <w:lang w:eastAsia="fr-CA"/>
        </w:rPr>
        <w:t xml:space="preserve"> complétés par votre employeur.  Vous devez compiler vos dépenses à l’aide du </w:t>
      </w:r>
      <w:r w:rsidR="0011697A" w:rsidRPr="007F7C32">
        <w:rPr>
          <w:rFonts w:ascii="Rockwell" w:eastAsia="Times New Roman" w:hAnsi="Rockwell"/>
          <w:sz w:val="19"/>
          <w:szCs w:val="19"/>
          <w:lang w:eastAsia="fr-CA"/>
        </w:rPr>
        <w:t>formulaire de compilation</w:t>
      </w:r>
      <w:r w:rsidR="0011697A" w:rsidRPr="00C031B8">
        <w:rPr>
          <w:rFonts w:ascii="Rockwell" w:eastAsia="Times New Roman" w:hAnsi="Rockwell"/>
          <w:color w:val="666666"/>
          <w:sz w:val="19"/>
          <w:szCs w:val="19"/>
          <w:lang w:eastAsia="fr-CA"/>
        </w:rPr>
        <w:t xml:space="preserve"> disponible sur notre site web.</w:t>
      </w:r>
    </w:p>
    <w:p w:rsidR="0011697A" w:rsidRPr="00C031B8" w:rsidRDefault="00605900" w:rsidP="0011697A">
      <w:pPr>
        <w:numPr>
          <w:ilvl w:val="0"/>
          <w:numId w:val="2"/>
        </w:numPr>
        <w:tabs>
          <w:tab w:val="clear" w:pos="720"/>
          <w:tab w:val="num" w:pos="2136"/>
        </w:tabs>
        <w:spacing w:after="0" w:line="240" w:lineRule="auto"/>
        <w:ind w:left="1428"/>
        <w:jc w:val="both"/>
        <w:rPr>
          <w:rFonts w:ascii="Rockwell" w:hAnsi="Rockwell"/>
          <w:sz w:val="19"/>
          <w:szCs w:val="19"/>
        </w:rPr>
      </w:pPr>
      <w:r w:rsidRPr="00605900">
        <w:rPr>
          <w:sz w:val="19"/>
          <w:szCs w:val="19"/>
          <w:lang w:eastAsia="fr-CA"/>
        </w:rPr>
        <w:pict>
          <v:shape id="_x0000_s1043" type="#_x0000_t202" style="position:absolute;left:0;text-align:left;margin-left:-25.35pt;margin-top:4.15pt;width:66.95pt;height:24.15pt;z-index:251668480">
            <v:textbox style="mso-next-textbox:#_x0000_s1043">
              <w:txbxContent>
                <w:p w:rsidR="0011697A" w:rsidRPr="00073C91" w:rsidRDefault="0011697A" w:rsidP="0011697A">
                  <w:pPr>
                    <w:spacing w:before="30" w:after="100" w:afterAutospacing="1" w:line="240" w:lineRule="auto"/>
                    <w:jc w:val="center"/>
                    <w:rPr>
                      <w:rFonts w:ascii="Rockwell" w:hAnsi="Rockwell"/>
                      <w:b/>
                      <w:color w:val="0070C0"/>
                      <w:sz w:val="16"/>
                      <w:szCs w:val="16"/>
                    </w:rPr>
                  </w:pPr>
                  <w:r w:rsidRPr="00073C91">
                    <w:rPr>
                      <w:rFonts w:ascii="Rockwell" w:hAnsi="Rockwell"/>
                      <w:b/>
                      <w:color w:val="0070C0"/>
                      <w:sz w:val="16"/>
                      <w:szCs w:val="16"/>
                    </w:rPr>
                    <w:t>Camionneur</w:t>
                  </w:r>
                </w:p>
              </w:txbxContent>
            </v:textbox>
          </v:shape>
        </w:pict>
      </w:r>
      <w:r w:rsidR="0011697A" w:rsidRPr="00C031B8">
        <w:rPr>
          <w:rFonts w:ascii="Rockwell" w:eastAsia="Times New Roman" w:hAnsi="Rockwell"/>
          <w:color w:val="666666"/>
          <w:sz w:val="19"/>
          <w:szCs w:val="19"/>
          <w:lang w:eastAsia="fr-CA"/>
        </w:rPr>
        <w:t xml:space="preserve">Dépenses de repas pour les camionneurs, les formulaires </w:t>
      </w:r>
      <w:r w:rsidR="0011697A" w:rsidRPr="004D0D40">
        <w:rPr>
          <w:rFonts w:ascii="Rockwell" w:eastAsia="Times New Roman" w:hAnsi="Rockwell"/>
          <w:sz w:val="19"/>
          <w:szCs w:val="19"/>
          <w:lang w:eastAsia="fr-CA"/>
        </w:rPr>
        <w:t>TL2</w:t>
      </w:r>
      <w:r w:rsidR="0011697A" w:rsidRPr="00C031B8">
        <w:rPr>
          <w:rFonts w:ascii="Rockwell" w:eastAsia="Times New Roman" w:hAnsi="Rockwell"/>
          <w:color w:val="666666"/>
          <w:sz w:val="19"/>
          <w:szCs w:val="19"/>
          <w:lang w:eastAsia="fr-CA"/>
        </w:rPr>
        <w:t>/</w:t>
      </w:r>
      <w:r w:rsidR="0011697A" w:rsidRPr="004D0D40">
        <w:rPr>
          <w:rFonts w:ascii="Rockwell" w:eastAsia="Times New Roman" w:hAnsi="Rockwell"/>
          <w:sz w:val="19"/>
          <w:szCs w:val="19"/>
          <w:lang w:eastAsia="fr-CA"/>
        </w:rPr>
        <w:t>TP-66</w:t>
      </w:r>
      <w:r w:rsidR="0011697A" w:rsidRPr="00C031B8">
        <w:rPr>
          <w:rFonts w:ascii="Rockwell" w:eastAsia="Times New Roman" w:hAnsi="Rockwell"/>
          <w:color w:val="666666"/>
          <w:sz w:val="19"/>
          <w:szCs w:val="19"/>
          <w:lang w:eastAsia="fr-CA"/>
        </w:rPr>
        <w:t xml:space="preserve"> signés par l’employeur, ainsi que le détail du nombre de repas/voyages/durée de l’année.          </w:t>
      </w:r>
    </w:p>
    <w:p w:rsidR="004D0D40" w:rsidRDefault="004D0D40" w:rsidP="0011697A">
      <w:pPr>
        <w:spacing w:after="0" w:line="240" w:lineRule="auto"/>
        <w:ind w:left="708" w:firstLine="708"/>
        <w:jc w:val="both"/>
        <w:rPr>
          <w:rFonts w:ascii="Rockwell" w:hAnsi="Rockwell"/>
          <w:b/>
          <w:sz w:val="19"/>
          <w:szCs w:val="19"/>
          <w:u w:val="single"/>
        </w:rPr>
      </w:pPr>
    </w:p>
    <w:p w:rsidR="0011697A" w:rsidRDefault="0011697A" w:rsidP="0011697A">
      <w:pPr>
        <w:spacing w:after="0" w:line="240" w:lineRule="auto"/>
        <w:ind w:left="708" w:firstLine="708"/>
        <w:jc w:val="both"/>
      </w:pPr>
      <w:r w:rsidRPr="00C031B8">
        <w:rPr>
          <w:rFonts w:ascii="Rockwell" w:hAnsi="Rockwell"/>
          <w:b/>
          <w:sz w:val="19"/>
          <w:szCs w:val="19"/>
          <w:u w:val="single"/>
        </w:rPr>
        <w:lastRenderedPageBreak/>
        <w:t>NOTE :</w:t>
      </w:r>
      <w:r w:rsidRPr="00C031B8">
        <w:rPr>
          <w:rFonts w:ascii="Rockwell" w:hAnsi="Rockwell"/>
          <w:sz w:val="19"/>
          <w:szCs w:val="19"/>
        </w:rPr>
        <w:t xml:space="preserve"> Cette liste n’est pas exhaustive et des éléments peuvent ne pas s’appliquer</w:t>
      </w:r>
    </w:p>
    <w:p w:rsidR="00B30C18" w:rsidRDefault="00B30C18"/>
    <w:sectPr w:rsidR="00B30C18" w:rsidSect="00653E05">
      <w:headerReference w:type="default" r:id="rId7"/>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087" w:rsidRDefault="004E5087" w:rsidP="002F2B74">
      <w:pPr>
        <w:spacing w:after="0" w:line="240" w:lineRule="auto"/>
      </w:pPr>
      <w:r>
        <w:separator/>
      </w:r>
    </w:p>
  </w:endnote>
  <w:endnote w:type="continuationSeparator" w:id="0">
    <w:p w:rsidR="004E5087" w:rsidRDefault="004E5087" w:rsidP="002F2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087" w:rsidRDefault="004E5087" w:rsidP="002F2B74">
      <w:pPr>
        <w:spacing w:after="0" w:line="240" w:lineRule="auto"/>
      </w:pPr>
      <w:r>
        <w:separator/>
      </w:r>
    </w:p>
  </w:footnote>
  <w:footnote w:type="continuationSeparator" w:id="0">
    <w:p w:rsidR="004E5087" w:rsidRDefault="004E5087" w:rsidP="002F2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64" w:rsidRPr="008D25B8" w:rsidRDefault="004123A6" w:rsidP="008D25B8">
    <w:pPr>
      <w:pStyle w:val="En-tte"/>
      <w:rPr>
        <w:szCs w:val="16"/>
      </w:rPr>
    </w:pPr>
    <w:r w:rsidRPr="008D25B8">
      <w:rPr>
        <w:noProof/>
        <w:sz w:val="16"/>
        <w:szCs w:val="16"/>
        <w:lang w:eastAsia="fr-CA"/>
      </w:rPr>
      <w:drawing>
        <wp:inline distT="0" distB="0" distL="0" distR="0">
          <wp:extent cx="1686539" cy="419100"/>
          <wp:effectExtent l="19050" t="0" r="8911" b="0"/>
          <wp:docPr id="2" name="Image 1" descr="JM Compter C.jpg"/>
          <wp:cNvGraphicFramePr/>
          <a:graphic xmlns:a="http://schemas.openxmlformats.org/drawingml/2006/main">
            <a:graphicData uri="http://schemas.openxmlformats.org/drawingml/2006/picture">
              <pic:pic xmlns:pic="http://schemas.openxmlformats.org/drawingml/2006/picture">
                <pic:nvPicPr>
                  <pic:cNvPr id="2059" name="Image 1" descr="JM Compter C.jpg"/>
                  <pic:cNvPicPr>
                    <a:picLocks noChangeAspect="1"/>
                  </pic:cNvPicPr>
                </pic:nvPicPr>
                <pic:blipFill>
                  <a:blip r:embed="rId1"/>
                  <a:stretch>
                    <a:fillRect/>
                  </a:stretch>
                </pic:blipFill>
                <pic:spPr bwMode="auto">
                  <a:xfrm>
                    <a:off x="0" y="0"/>
                    <a:ext cx="1686539" cy="419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009F1"/>
    <w:multiLevelType w:val="multilevel"/>
    <w:tmpl w:val="4224F0D4"/>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0741F0"/>
    <w:multiLevelType w:val="multilevel"/>
    <w:tmpl w:val="A8BE25DA"/>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11697A"/>
    <w:rsid w:val="0011697A"/>
    <w:rsid w:val="0020133B"/>
    <w:rsid w:val="002F2B74"/>
    <w:rsid w:val="003D60B2"/>
    <w:rsid w:val="004123A6"/>
    <w:rsid w:val="004D0D40"/>
    <w:rsid w:val="004E5087"/>
    <w:rsid w:val="00605900"/>
    <w:rsid w:val="00710B4D"/>
    <w:rsid w:val="00783A6C"/>
    <w:rsid w:val="007F7C32"/>
    <w:rsid w:val="00B30C18"/>
    <w:rsid w:val="00D51BD4"/>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7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697A"/>
    <w:rPr>
      <w:color w:val="0563C1" w:themeColor="hyperlink"/>
      <w:u w:val="single"/>
    </w:rPr>
  </w:style>
  <w:style w:type="paragraph" w:styleId="En-tte">
    <w:name w:val="header"/>
    <w:basedOn w:val="Normal"/>
    <w:link w:val="En-tteCar"/>
    <w:uiPriority w:val="99"/>
    <w:unhideWhenUsed/>
    <w:rsid w:val="0011697A"/>
    <w:pPr>
      <w:tabs>
        <w:tab w:val="center" w:pos="4320"/>
        <w:tab w:val="right" w:pos="8640"/>
      </w:tabs>
      <w:spacing w:after="0" w:line="240" w:lineRule="auto"/>
    </w:pPr>
  </w:style>
  <w:style w:type="character" w:customStyle="1" w:styleId="En-tteCar">
    <w:name w:val="En-tête Car"/>
    <w:basedOn w:val="Policepardfaut"/>
    <w:link w:val="En-tte"/>
    <w:uiPriority w:val="99"/>
    <w:rsid w:val="0011697A"/>
  </w:style>
  <w:style w:type="paragraph" w:styleId="Pieddepage">
    <w:name w:val="footer"/>
    <w:basedOn w:val="Normal"/>
    <w:link w:val="PieddepageCar"/>
    <w:uiPriority w:val="99"/>
    <w:semiHidden/>
    <w:unhideWhenUsed/>
    <w:rsid w:val="0011697A"/>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11697A"/>
  </w:style>
  <w:style w:type="paragraph" w:styleId="Textedebulles">
    <w:name w:val="Balloon Text"/>
    <w:basedOn w:val="Normal"/>
    <w:link w:val="TextedebullesCar"/>
    <w:uiPriority w:val="99"/>
    <w:semiHidden/>
    <w:unhideWhenUsed/>
    <w:rsid w:val="001169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1172</Words>
  <Characters>6452</Characters>
  <Application>Microsoft Office Word</Application>
  <DocSecurity>0</DocSecurity>
  <Lines>53</Lines>
  <Paragraphs>15</Paragraphs>
  <ScaleCrop>false</ScaleCrop>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2013-10-01T14:19:00Z</dcterms:created>
  <dcterms:modified xsi:type="dcterms:W3CDTF">2013-11-13T18:06:00Z</dcterms:modified>
</cp:coreProperties>
</file>